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0D42E4" w:rsidP="000D42E4" w14:paraId="7723CAD3" w14:textId="77777777">
      <w:pPr>
        <w:jc w:val="center"/>
        <w:rPr>
          <w:b/>
          <w:sz w:val="44"/>
          <w:szCs w:val="44"/>
        </w:rPr>
      </w:pPr>
      <w:bookmarkStart w:id="0" w:name="_GoBack"/>
      <w:bookmarkEnd w:id="0"/>
    </w:p>
    <w:p w:rsidR="000D42E4" w:rsidP="000D42E4" w14:paraId="3328EF53" w14:textId="77777777">
      <w:pPr>
        <w:jc w:val="center"/>
        <w:rPr>
          <w:b/>
          <w:sz w:val="44"/>
          <w:szCs w:val="44"/>
        </w:rPr>
      </w:pPr>
    </w:p>
    <w:p w:rsidR="000D42E4" w:rsidP="000D42E4" w14:paraId="44720191" w14:textId="77777777">
      <w:pPr>
        <w:jc w:val="center"/>
        <w:rPr>
          <w:b/>
          <w:sz w:val="44"/>
          <w:szCs w:val="44"/>
        </w:rPr>
      </w:pPr>
    </w:p>
    <w:p w:rsidR="000D42E4" w:rsidP="000D42E4" w14:paraId="64B2FD47" w14:textId="77777777">
      <w:pPr>
        <w:jc w:val="center"/>
        <w:rPr>
          <w:b/>
          <w:sz w:val="44"/>
          <w:szCs w:val="44"/>
        </w:rPr>
      </w:pPr>
    </w:p>
    <w:p w:rsidR="000D42E4" w:rsidP="000D42E4" w14:paraId="41AB7252" w14:textId="77777777">
      <w:pPr>
        <w:jc w:val="center"/>
        <w:rPr>
          <w:b/>
          <w:sz w:val="44"/>
          <w:szCs w:val="44"/>
        </w:rPr>
      </w:pPr>
    </w:p>
    <w:p w:rsidR="000D42E4" w:rsidP="000D42E4" w14:paraId="694D9259" w14:textId="77777777">
      <w:pPr>
        <w:jc w:val="center"/>
        <w:rPr>
          <w:b/>
          <w:sz w:val="44"/>
          <w:szCs w:val="44"/>
        </w:rPr>
      </w:pPr>
    </w:p>
    <w:p w:rsidR="000D42E4" w:rsidP="000D42E4" w14:paraId="5FF44303" w14:textId="77777777">
      <w:pPr>
        <w:jc w:val="center"/>
        <w:rPr>
          <w:b/>
          <w:sz w:val="44"/>
          <w:szCs w:val="44"/>
        </w:rPr>
      </w:pPr>
    </w:p>
    <w:p w:rsidR="000D42E4" w:rsidP="000D42E4" w14:paraId="38BBAC66" w14:textId="77777777">
      <w:pPr>
        <w:jc w:val="center"/>
        <w:rPr>
          <w:b/>
          <w:sz w:val="44"/>
          <w:szCs w:val="44"/>
        </w:rPr>
      </w:pPr>
      <w:r w:rsidRPr="002031A1">
        <w:rPr>
          <w:b/>
          <w:sz w:val="44"/>
          <w:szCs w:val="44"/>
        </w:rPr>
        <w:t>ZÁVĚREČNÁ ZPRÁVA Z HODNOCENÍ DOPADŮ REGULACE</w:t>
      </w:r>
    </w:p>
    <w:p w:rsidR="000D42E4" w:rsidRPr="00681F48" w:rsidP="000D42E4" w14:paraId="12D18486" w14:textId="77777777">
      <w:pPr>
        <w:jc w:val="center"/>
        <w:rPr>
          <w:b/>
          <w:sz w:val="44"/>
          <w:szCs w:val="44"/>
        </w:rPr>
      </w:pPr>
    </w:p>
    <w:p w:rsidR="003C1E74" w:rsidP="003C1E74" w14:paraId="129C37E9" w14:textId="55D810B5">
      <w:pPr>
        <w:spacing w:line="240" w:lineRule="auto"/>
        <w:jc w:val="center"/>
        <w:rPr>
          <w:rFonts w:cs="Arial"/>
          <w:b/>
        </w:rPr>
      </w:pPr>
      <w:r>
        <w:rPr>
          <w:b/>
        </w:rPr>
        <w:t>k</w:t>
      </w:r>
      <w:r>
        <w:rPr>
          <w:b/>
        </w:rPr>
        <w:t> </w:t>
      </w:r>
      <w:r w:rsidRPr="00AB4237">
        <w:rPr>
          <w:b/>
        </w:rPr>
        <w:t>vyhlášce</w:t>
      </w:r>
      <w:r>
        <w:rPr>
          <w:b/>
        </w:rPr>
        <w:t>,</w:t>
      </w:r>
      <w:r w:rsidRPr="00AB4237">
        <w:rPr>
          <w:b/>
        </w:rPr>
        <w:t xml:space="preserve"> </w:t>
      </w:r>
      <w:r>
        <w:rPr>
          <w:rFonts w:cs="Arial"/>
          <w:b/>
        </w:rPr>
        <w:t>kterou se mění vyhláška č. 30/2021 Sb., o provedení některých ustanovení zákona o obalech</w:t>
      </w:r>
    </w:p>
    <w:p w:rsidR="000D42E4" w:rsidRPr="00AB4237" w:rsidP="000D42E4" w14:paraId="43C2C629" w14:textId="4019EF5B">
      <w:pPr>
        <w:jc w:val="center"/>
        <w:rPr>
          <w:b/>
        </w:rPr>
      </w:pPr>
    </w:p>
    <w:p w:rsidR="000D42E4" w:rsidP="000D42E4" w14:paraId="2238F6B3" w14:textId="77777777">
      <w:pPr>
        <w:jc w:val="center"/>
        <w:rPr>
          <w:b/>
          <w:sz w:val="28"/>
          <w:szCs w:val="28"/>
        </w:rPr>
      </w:pPr>
    </w:p>
    <w:p w:rsidR="000D42E4" w:rsidP="000D42E4" w14:paraId="7E5D08C4" w14:textId="77777777">
      <w:pPr>
        <w:jc w:val="center"/>
        <w:rPr>
          <w:b/>
          <w:sz w:val="28"/>
          <w:szCs w:val="28"/>
        </w:rPr>
      </w:pPr>
    </w:p>
    <w:p w:rsidR="000D42E4" w:rsidP="000D42E4" w14:paraId="52263BF1" w14:textId="77777777">
      <w:pPr>
        <w:jc w:val="center"/>
        <w:rPr>
          <w:b/>
          <w:sz w:val="28"/>
          <w:szCs w:val="28"/>
        </w:rPr>
      </w:pPr>
    </w:p>
    <w:p w:rsidR="000D42E4" w:rsidP="000D42E4" w14:paraId="1FD66664" w14:textId="77777777">
      <w:pPr>
        <w:jc w:val="center"/>
        <w:rPr>
          <w:b/>
          <w:sz w:val="28"/>
          <w:szCs w:val="28"/>
        </w:rPr>
      </w:pPr>
    </w:p>
    <w:p w:rsidR="000D42E4" w:rsidP="000D42E4" w14:paraId="7F22DBFF" w14:textId="77777777">
      <w:pPr>
        <w:jc w:val="center"/>
        <w:rPr>
          <w:b/>
          <w:sz w:val="28"/>
          <w:szCs w:val="28"/>
        </w:rPr>
      </w:pPr>
    </w:p>
    <w:p w:rsidR="000D42E4" w:rsidP="000D42E4" w14:paraId="775EC563" w14:textId="77777777">
      <w:pPr>
        <w:jc w:val="center"/>
        <w:rPr>
          <w:b/>
          <w:sz w:val="28"/>
          <w:szCs w:val="28"/>
        </w:rPr>
      </w:pPr>
    </w:p>
    <w:p w:rsidR="000D42E4" w:rsidP="00AB4237" w14:paraId="344B7958" w14:textId="256E874C">
      <w:pPr>
        <w:rPr>
          <w:b/>
          <w:sz w:val="28"/>
          <w:szCs w:val="28"/>
        </w:rPr>
      </w:pPr>
    </w:p>
    <w:p w:rsidR="000D42E4" w:rsidP="000D42E4" w14:paraId="4E7B021B" w14:textId="77777777">
      <w:pPr>
        <w:jc w:val="center"/>
        <w:rPr>
          <w:b/>
          <w:sz w:val="28"/>
          <w:szCs w:val="28"/>
        </w:rPr>
      </w:pPr>
    </w:p>
    <w:p w:rsidR="000D42E4" w:rsidP="000D42E4" w14:paraId="600C972E" w14:textId="735B0F40">
      <w:pPr>
        <w:jc w:val="center"/>
        <w:rPr>
          <w:b/>
          <w:sz w:val="28"/>
          <w:szCs w:val="28"/>
        </w:rPr>
      </w:pPr>
      <w:r>
        <w:rPr>
          <w:noProof/>
          <w:lang w:eastAsia="cs-CZ"/>
        </w:rPr>
        <w:drawing>
          <wp:inline distT="0" distB="0" distL="0" distR="0">
            <wp:extent cx="2919095" cy="885825"/>
            <wp:effectExtent l="0" t="0" r="0" b="9525"/>
            <wp:docPr id="1" name="Obrázek 1" descr="https://my.teamio.com/company-profiles/image/logo_26492_ce2cadc7-278a-4ba3-bf1d-ce531c58ca50.pn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my.teamio.com/company-profiles/image/logo_26492_ce2cadc7-278a-4ba3-bf1d-ce531c58ca50.png?v=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rcRect b="22486"/>
                    <a:stretch>
                      <a:fillRect/>
                    </a:stretch>
                  </pic:blipFill>
                  <pic:spPr bwMode="auto">
                    <a:xfrm>
                      <a:off x="0" y="0"/>
                      <a:ext cx="2928325" cy="888626"/>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0D42E4" w:rsidP="000D42E4" w14:paraId="5E10A397" w14:textId="3664D00B">
      <w:pPr>
        <w:jc w:val="center"/>
        <w:rPr>
          <w:b/>
          <w:sz w:val="28"/>
          <w:szCs w:val="28"/>
        </w:rPr>
      </w:pPr>
      <w:r>
        <w:rPr>
          <w:b/>
          <w:sz w:val="28"/>
          <w:szCs w:val="28"/>
        </w:rPr>
        <w:t>20</w:t>
      </w:r>
      <w:r w:rsidR="00AB4237">
        <w:rPr>
          <w:b/>
          <w:sz w:val="28"/>
          <w:szCs w:val="28"/>
        </w:rPr>
        <w:t>2</w:t>
      </w:r>
      <w:r w:rsidR="004A671B">
        <w:rPr>
          <w:b/>
          <w:sz w:val="28"/>
          <w:szCs w:val="28"/>
        </w:rPr>
        <w:t>2</w:t>
      </w:r>
    </w:p>
    <w:p w:rsidR="00BA0CBF" w14:paraId="3F60B691" w14:textId="77777777">
      <w:pPr>
        <w:spacing w:line="240" w:lineRule="auto"/>
        <w:jc w:val="left"/>
        <w:rPr>
          <w:b/>
          <w:sz w:val="28"/>
          <w:szCs w:val="28"/>
        </w:rPr>
        <w:sectPr w:rsidSect="006E4AC5">
          <w:headerReference w:type="default" r:id="rId7"/>
          <w:pgSz w:w="11906" w:h="16838"/>
          <w:pgMar w:top="1417" w:right="1417" w:bottom="1417" w:left="1417" w:header="708" w:footer="708" w:gutter="0"/>
          <w:cols w:space="708"/>
          <w:docGrid w:linePitch="360"/>
        </w:sectPr>
      </w:pPr>
    </w:p>
    <w:p w:rsidR="000D42E4" w:rsidP="00C502C0" w14:paraId="7C48A2ED" w14:textId="77777777">
      <w:pPr>
        <w:pStyle w:val="Title"/>
        <w:numPr>
          <w:ilvl w:val="0"/>
          <w:numId w:val="0"/>
        </w:numPr>
        <w:jc w:val="center"/>
        <w:rPr>
          <w:sz w:val="28"/>
          <w:lang w:bidi="en-US"/>
        </w:rPr>
      </w:pPr>
      <w:bookmarkStart w:id="1" w:name="_Toc109829307"/>
      <w:r w:rsidRPr="007754C0">
        <w:rPr>
          <w:sz w:val="28"/>
          <w:lang w:bidi="en-US"/>
        </w:rPr>
        <w:t>Z</w:t>
      </w:r>
      <w:r w:rsidRPr="007754C0" w:rsidR="001D7DA7">
        <w:rPr>
          <w:sz w:val="28"/>
          <w:lang w:bidi="en-US"/>
        </w:rPr>
        <w:t>ávěrečná</w:t>
      </w:r>
      <w:r w:rsidRPr="007754C0">
        <w:rPr>
          <w:sz w:val="28"/>
          <w:lang w:bidi="en-US"/>
        </w:rPr>
        <w:t xml:space="preserve"> zpráva z hodnocení dopadů regulace</w:t>
      </w:r>
      <w:bookmarkEnd w:id="1"/>
    </w:p>
    <w:p w:rsidR="00C04D5B" w:rsidRPr="00C04D5B" w:rsidP="00C04D5B" w14:paraId="099F5E87" w14:textId="77777777">
      <w:pPr>
        <w:tabs>
          <w:tab w:val="left" w:pos="6660"/>
        </w:tabs>
        <w:spacing w:line="240" w:lineRule="auto"/>
        <w:jc w:val="center"/>
        <w:rPr>
          <w:rFonts w:eastAsia="MS Mincho" w:cs="Arial"/>
          <w:b/>
          <w:bCs/>
          <w:sz w:val="24"/>
        </w:rPr>
      </w:pPr>
      <w:r w:rsidRPr="00C04D5B">
        <w:rPr>
          <w:rFonts w:eastAsia="MS Mincho" w:cs="Arial"/>
          <w:b/>
          <w:bCs/>
          <w:sz w:val="24"/>
        </w:rPr>
        <w:t>SHRNUTÍ ZÁVĚREČNÉ ZPRÁVY RIA</w:t>
      </w:r>
    </w:p>
    <w:tbl>
      <w:tblPr>
        <w:tblW w:w="9648"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0A0"/>
      </w:tblPr>
      <w:tblGrid>
        <w:gridCol w:w="4644"/>
        <w:gridCol w:w="5004"/>
      </w:tblGrid>
      <w:tr w14:paraId="24355713" w14:textId="77777777" w:rsidTr="004A671B">
        <w:tblPrEx>
          <w:tblW w:w="9648"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0A0"/>
        </w:tblPrEx>
        <w:trPr>
          <w:trHeight w:val="187"/>
        </w:trPr>
        <w:tc>
          <w:tcPr>
            <w:tcW w:w="9648" w:type="dxa"/>
            <w:gridSpan w:val="2"/>
            <w:tcBorders>
              <w:top w:val="single" w:sz="12" w:space="0" w:color="000000"/>
              <w:left w:val="single" w:sz="12" w:space="0" w:color="000000"/>
              <w:bottom w:val="single" w:sz="12" w:space="0" w:color="000000"/>
              <w:right w:val="single" w:sz="12" w:space="0" w:color="000000"/>
            </w:tcBorders>
            <w:shd w:val="clear" w:color="auto" w:fill="99CCFF"/>
            <w:vAlign w:val="bottom"/>
          </w:tcPr>
          <w:p w:rsidR="004A671B" w:rsidRPr="00C04D5B" w:rsidP="00C502C0" w14:paraId="65310262" w14:textId="5A7B5166">
            <w:pPr>
              <w:tabs>
                <w:tab w:val="left" w:pos="6660"/>
              </w:tabs>
              <w:spacing w:before="60" w:after="60"/>
              <w:jc w:val="left"/>
              <w:rPr>
                <w:rFonts w:eastAsia="MS Mincho" w:cs="Arial"/>
                <w:bCs/>
                <w:sz w:val="24"/>
              </w:rPr>
            </w:pPr>
            <w:r w:rsidRPr="00C04D5B">
              <w:rPr>
                <w:rFonts w:eastAsia="MS Mincho" w:cs="Arial"/>
                <w:bCs/>
                <w:sz w:val="24"/>
              </w:rPr>
              <w:t>1. Základní identifikační údaje</w:t>
            </w:r>
          </w:p>
        </w:tc>
      </w:tr>
      <w:tr w14:paraId="43DEFF7E" w14:textId="77777777" w:rsidTr="004A671B">
        <w:tblPrEx>
          <w:tblW w:w="9648" w:type="dxa"/>
          <w:tblLayout w:type="fixed"/>
          <w:tblLook w:val="00A0"/>
        </w:tblPrEx>
        <w:trPr>
          <w:trHeight w:val="187"/>
        </w:trPr>
        <w:tc>
          <w:tcPr>
            <w:tcW w:w="9648" w:type="dxa"/>
            <w:gridSpan w:val="2"/>
            <w:tcBorders>
              <w:top w:val="single" w:sz="12" w:space="0" w:color="000000"/>
              <w:left w:val="single" w:sz="12" w:space="0" w:color="000000"/>
              <w:bottom w:val="single" w:sz="4" w:space="0" w:color="auto"/>
              <w:right w:val="single" w:sz="12" w:space="0" w:color="000000"/>
            </w:tcBorders>
            <w:shd w:val="clear" w:color="auto" w:fill="auto"/>
            <w:vAlign w:val="bottom"/>
          </w:tcPr>
          <w:p w:rsidR="00EF5D0B" w:rsidRPr="00CD52AB" w:rsidP="00C502C0" w14:paraId="33E06DBF" w14:textId="2DFEA12B">
            <w:pPr>
              <w:tabs>
                <w:tab w:val="left" w:pos="6660"/>
              </w:tabs>
              <w:spacing w:before="60" w:after="60"/>
              <w:rPr>
                <w:rFonts w:eastAsia="MS Mincho" w:cs="Arial"/>
                <w:b/>
                <w:bCs/>
                <w:sz w:val="24"/>
              </w:rPr>
            </w:pPr>
            <w:r w:rsidRPr="00C04D5B">
              <w:rPr>
                <w:rFonts w:eastAsia="MS Mincho" w:cs="Arial"/>
                <w:bCs/>
                <w:sz w:val="24"/>
              </w:rPr>
              <w:t xml:space="preserve">Název návrhu </w:t>
            </w:r>
            <w:r w:rsidR="00AB4237">
              <w:rPr>
                <w:rFonts w:eastAsia="MS Mincho" w:cs="Arial"/>
                <w:bCs/>
                <w:sz w:val="24"/>
              </w:rPr>
              <w:t>vyhlášky</w:t>
            </w:r>
            <w:r w:rsidRPr="00C04D5B">
              <w:rPr>
                <w:rFonts w:eastAsia="MS Mincho" w:cs="Arial"/>
                <w:bCs/>
                <w:sz w:val="24"/>
              </w:rPr>
              <w:t xml:space="preserve">: </w:t>
            </w:r>
            <w:r w:rsidR="00CD52AB">
              <w:rPr>
                <w:rFonts w:eastAsia="MS Mincho" w:cs="Arial"/>
                <w:b/>
                <w:bCs/>
                <w:sz w:val="24"/>
              </w:rPr>
              <w:t>V</w:t>
            </w:r>
            <w:r w:rsidRPr="00CD52AB" w:rsidR="00CD52AB">
              <w:rPr>
                <w:rFonts w:eastAsia="MS Mincho" w:cs="Arial"/>
                <w:b/>
                <w:bCs/>
                <w:sz w:val="24"/>
              </w:rPr>
              <w:t>yhláš</w:t>
            </w:r>
            <w:r w:rsidR="00CD52AB">
              <w:rPr>
                <w:rFonts w:eastAsia="MS Mincho" w:cs="Arial"/>
                <w:b/>
                <w:bCs/>
                <w:sz w:val="24"/>
              </w:rPr>
              <w:t>ka</w:t>
            </w:r>
            <w:r w:rsidRPr="00CD52AB" w:rsidR="00CD52AB">
              <w:rPr>
                <w:rFonts w:eastAsia="MS Mincho" w:cs="Arial"/>
                <w:b/>
                <w:bCs/>
                <w:sz w:val="24"/>
              </w:rPr>
              <w:t>, kterou se mění vyhláška č. 30/2021 Sb., o provedení některých ustanovení zákona o obalech</w:t>
            </w:r>
          </w:p>
        </w:tc>
      </w:tr>
      <w:tr w14:paraId="094C292B" w14:textId="77777777" w:rsidTr="004A671B">
        <w:tblPrEx>
          <w:tblW w:w="9648" w:type="dxa"/>
          <w:tblLayout w:type="fixed"/>
          <w:tblLook w:val="00A0"/>
        </w:tblPrEx>
        <w:trPr>
          <w:trHeight w:val="979"/>
        </w:trPr>
        <w:tc>
          <w:tcPr>
            <w:tcW w:w="4644" w:type="dxa"/>
            <w:tcBorders>
              <w:top w:val="single" w:sz="4" w:space="0" w:color="auto"/>
              <w:left w:val="single" w:sz="12" w:space="0" w:color="000000"/>
              <w:bottom w:val="single" w:sz="4" w:space="0" w:color="auto"/>
              <w:right w:val="single" w:sz="4" w:space="0" w:color="auto"/>
            </w:tcBorders>
            <w:shd w:val="clear" w:color="auto" w:fill="auto"/>
          </w:tcPr>
          <w:p w:rsidR="00EF5D0B" w:rsidRPr="00EC5662" w:rsidP="00C502C0" w14:paraId="5CFC6D12" w14:textId="2F0B1C2F">
            <w:pPr>
              <w:tabs>
                <w:tab w:val="left" w:pos="6660"/>
              </w:tabs>
              <w:spacing w:before="60" w:after="60"/>
              <w:jc w:val="center"/>
              <w:rPr>
                <w:rFonts w:eastAsia="MS Mincho" w:cs="Arial"/>
                <w:bCs/>
              </w:rPr>
            </w:pPr>
            <w:r w:rsidRPr="00EC5662">
              <w:rPr>
                <w:rFonts w:eastAsia="MS Mincho" w:cs="Arial"/>
                <w:bCs/>
              </w:rPr>
              <w:t xml:space="preserve">Zpracovatel: </w:t>
            </w:r>
          </w:p>
          <w:p w:rsidR="00EF5D0B" w:rsidRPr="00EC5662" w:rsidP="00C502C0" w14:paraId="5AF145BF" w14:textId="0A7F77D1">
            <w:pPr>
              <w:tabs>
                <w:tab w:val="left" w:pos="6660"/>
              </w:tabs>
              <w:spacing w:before="60" w:after="60"/>
              <w:jc w:val="center"/>
              <w:rPr>
                <w:rFonts w:eastAsia="MS Mincho" w:cs="Arial"/>
                <w:bCs/>
                <w:u w:val="single"/>
              </w:rPr>
            </w:pPr>
            <w:r w:rsidRPr="00EC5662">
              <w:rPr>
                <w:rFonts w:eastAsia="MS Mincho" w:cs="Arial"/>
                <w:bCs/>
              </w:rPr>
              <w:t>Ministerstvo životního prostředí</w:t>
            </w:r>
            <w:r w:rsidRPr="00EC5662">
              <w:rPr>
                <w:rFonts w:eastAsia="MS Mincho" w:cs="Arial"/>
                <w:bCs/>
                <w:u w:val="single"/>
              </w:rPr>
              <w:t xml:space="preserve"> </w:t>
            </w:r>
          </w:p>
        </w:tc>
        <w:tc>
          <w:tcPr>
            <w:tcW w:w="5004" w:type="dxa"/>
            <w:tcBorders>
              <w:top w:val="single" w:sz="4" w:space="0" w:color="auto"/>
              <w:left w:val="single" w:sz="4" w:space="0" w:color="auto"/>
              <w:bottom w:val="single" w:sz="4" w:space="0" w:color="auto"/>
              <w:right w:val="single" w:sz="12" w:space="0" w:color="000000"/>
            </w:tcBorders>
            <w:shd w:val="clear" w:color="auto" w:fill="auto"/>
          </w:tcPr>
          <w:p w:rsidR="00EF5D0B" w:rsidRPr="00EC5662" w:rsidP="00C502C0" w14:paraId="750D940A" w14:textId="3250D174">
            <w:pPr>
              <w:tabs>
                <w:tab w:val="left" w:pos="6660"/>
              </w:tabs>
              <w:spacing w:before="60" w:after="60"/>
              <w:jc w:val="center"/>
              <w:rPr>
                <w:rFonts w:eastAsia="MS Mincho" w:cs="Arial"/>
                <w:bCs/>
              </w:rPr>
            </w:pPr>
            <w:r w:rsidRPr="00EC5662">
              <w:rPr>
                <w:rFonts w:eastAsia="MS Mincho" w:cs="Arial"/>
                <w:bCs/>
              </w:rPr>
              <w:t>Předpokládaný termín nabytí účinnosti</w:t>
            </w:r>
            <w:r w:rsidRPr="00EC5662" w:rsidR="00603DC5">
              <w:rPr>
                <w:rFonts w:eastAsia="MS Mincho" w:cs="Arial"/>
                <w:bCs/>
              </w:rPr>
              <w:t>:</w:t>
            </w:r>
          </w:p>
          <w:p w:rsidR="00EF5D0B" w:rsidRPr="00EC5662" w:rsidP="00C502C0" w14:paraId="6DD1162A" w14:textId="705B8C8C">
            <w:pPr>
              <w:tabs>
                <w:tab w:val="left" w:pos="6660"/>
              </w:tabs>
              <w:spacing w:before="60" w:after="60"/>
              <w:jc w:val="center"/>
              <w:rPr>
                <w:rFonts w:eastAsia="MS Mincho" w:cs="Arial"/>
                <w:bCs/>
              </w:rPr>
            </w:pPr>
            <w:r w:rsidRPr="003C1E74">
              <w:rPr>
                <w:rFonts w:cs="Arial"/>
              </w:rPr>
              <w:t>Vyhláška nabývá účinnosti patnáctým dnem po</w:t>
            </w:r>
            <w:r w:rsidRPr="003C1E74" w:rsidR="000E5376">
              <w:rPr>
                <w:rFonts w:cs="Arial"/>
              </w:rPr>
              <w:t> </w:t>
            </w:r>
            <w:r w:rsidRPr="003C1E74">
              <w:rPr>
                <w:rFonts w:cs="Arial"/>
              </w:rPr>
              <w:t>dni jejího vyhlášení</w:t>
            </w:r>
          </w:p>
        </w:tc>
      </w:tr>
      <w:tr w14:paraId="3A2029FF"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rPr>
          <w:trHeight w:val="1080"/>
        </w:trPr>
        <w:tc>
          <w:tcPr>
            <w:tcW w:w="9648" w:type="dxa"/>
            <w:gridSpan w:val="2"/>
            <w:tcBorders>
              <w:top w:val="single" w:sz="12" w:space="0" w:color="000000"/>
              <w:left w:val="single" w:sz="12" w:space="0" w:color="000000"/>
              <w:right w:val="single" w:sz="12" w:space="0" w:color="000000"/>
            </w:tcBorders>
            <w:shd w:val="clear" w:color="auto" w:fill="auto"/>
            <w:vAlign w:val="center"/>
          </w:tcPr>
          <w:p w:rsidR="00EF2D6D" w:rsidRPr="00EC5662" w:rsidP="00C502C0" w14:paraId="678CFF71" w14:textId="466CC740">
            <w:pPr>
              <w:tabs>
                <w:tab w:val="left" w:pos="6660"/>
              </w:tabs>
              <w:spacing w:before="60" w:after="60"/>
              <w:jc w:val="left"/>
              <w:rPr>
                <w:rFonts w:eastAsia="MS Mincho" w:cs="Arial"/>
                <w:bCs/>
              </w:rPr>
            </w:pPr>
            <w:r w:rsidRPr="00EC5662">
              <w:rPr>
                <w:rFonts w:eastAsia="MS Mincho" w:cs="Arial"/>
                <w:bCs/>
              </w:rPr>
              <w:t>Implementace práva EU:</w:t>
            </w:r>
            <w:r w:rsidRPr="00EC5662">
              <w:rPr>
                <w:rFonts w:eastAsia="MS Mincho" w:cs="Arial"/>
                <w:bCs/>
              </w:rPr>
              <w:t xml:space="preserve"> Ano</w:t>
            </w:r>
          </w:p>
          <w:p w:rsidR="00C00FBD" w:rsidRPr="00EC5662" w:rsidP="00C502C0" w14:paraId="4C631285" w14:textId="4A426065">
            <w:pPr>
              <w:tabs>
                <w:tab w:val="left" w:pos="6660"/>
              </w:tabs>
              <w:spacing w:before="60" w:after="60"/>
              <w:jc w:val="left"/>
              <w:rPr>
                <w:rFonts w:eastAsia="MS Mincho" w:cs="Arial"/>
                <w:bCs/>
              </w:rPr>
            </w:pPr>
            <w:r w:rsidRPr="00EC5662">
              <w:rPr>
                <w:rFonts w:eastAsia="MS Mincho" w:cs="Arial"/>
                <w:bCs/>
              </w:rPr>
              <w:t>Směrnice</w:t>
            </w:r>
            <w:r w:rsidRPr="00EC5662">
              <w:rPr>
                <w:rFonts w:eastAsia="MS Mincho" w:cs="Arial"/>
                <w:bCs/>
              </w:rPr>
              <w:t xml:space="preserve"> (EU)</w:t>
            </w:r>
            <w:r w:rsidRPr="00EC5662">
              <w:rPr>
                <w:rFonts w:eastAsia="MS Mincho" w:cs="Arial"/>
                <w:bCs/>
              </w:rPr>
              <w:t xml:space="preserve"> 2019/904</w:t>
            </w:r>
            <w:r w:rsidRPr="00EC5662" w:rsidR="00EF2D6D">
              <w:rPr>
                <w:rFonts w:eastAsia="MS Mincho" w:cs="Arial"/>
                <w:bCs/>
              </w:rPr>
              <w:t xml:space="preserve">, o omezení dopadu </w:t>
            </w:r>
            <w:r w:rsidRPr="00EC5662" w:rsidR="00EF7195">
              <w:rPr>
                <w:rFonts w:eastAsia="MS Mincho" w:cs="Arial"/>
                <w:bCs/>
              </w:rPr>
              <w:t>některýc</w:t>
            </w:r>
            <w:r w:rsidRPr="00EC5662" w:rsidR="00EF2D6D">
              <w:rPr>
                <w:rFonts w:eastAsia="MS Mincho" w:cs="Arial"/>
                <w:bCs/>
              </w:rPr>
              <w:t>h plastových výrobků na životní prostředí</w:t>
            </w:r>
          </w:p>
          <w:p w:rsidR="0085619D" w:rsidRPr="00EC5662" w:rsidP="00C502C0" w14:paraId="526807FD" w14:textId="2D780516">
            <w:pPr>
              <w:tabs>
                <w:tab w:val="left" w:pos="6660"/>
              </w:tabs>
              <w:spacing w:before="60" w:after="60"/>
              <w:jc w:val="left"/>
              <w:rPr>
                <w:rFonts w:eastAsia="MS Mincho" w:cs="Arial"/>
                <w:bCs/>
              </w:rPr>
            </w:pPr>
            <w:r w:rsidRPr="00EC5662">
              <w:rPr>
                <w:rFonts w:eastAsia="MS Mincho" w:cs="Arial"/>
                <w:bCs/>
              </w:rPr>
              <w:t>T</w:t>
            </w:r>
            <w:r w:rsidRPr="00EC5662" w:rsidR="00EF5D0B">
              <w:rPr>
                <w:rFonts w:eastAsia="MS Mincho" w:cs="Arial"/>
                <w:bCs/>
              </w:rPr>
              <w:t>ermín stanovený pro implementaci:</w:t>
            </w:r>
            <w:r w:rsidRPr="00EC5662">
              <w:rPr>
                <w:rFonts w:eastAsia="MS Mincho" w:cs="Arial"/>
                <w:bCs/>
              </w:rPr>
              <w:t xml:space="preserve"> </w:t>
            </w:r>
            <w:r w:rsidRPr="00EC5662">
              <w:rPr>
                <w:rFonts w:eastAsia="MS Mincho" w:cs="Arial"/>
                <w:bCs/>
              </w:rPr>
              <w:t>3. července 2021</w:t>
            </w:r>
          </w:p>
          <w:p w:rsidR="00EF5D0B" w:rsidRPr="00C04D5B" w:rsidP="00C502C0" w14:paraId="24D5D384" w14:textId="5B506AC5">
            <w:pPr>
              <w:tabs>
                <w:tab w:val="left" w:pos="6660"/>
              </w:tabs>
              <w:spacing w:before="60" w:after="60"/>
              <w:jc w:val="left"/>
              <w:rPr>
                <w:rFonts w:eastAsia="MS Mincho" w:cs="Arial"/>
                <w:i/>
                <w:iCs/>
                <w:sz w:val="24"/>
                <w:u w:val="single"/>
              </w:rPr>
            </w:pPr>
            <w:r w:rsidRPr="00EC5662">
              <w:rPr>
                <w:rFonts w:eastAsia="MS Mincho" w:cs="Arial"/>
                <w:bCs/>
              </w:rPr>
              <w:t>J</w:t>
            </w:r>
            <w:r w:rsidRPr="00EC5662">
              <w:rPr>
                <w:rFonts w:eastAsia="MS Mincho" w:cs="Arial"/>
                <w:bCs/>
              </w:rPr>
              <w:t>de návrh nad rámec poža</w:t>
            </w:r>
            <w:r w:rsidRPr="00EC5662" w:rsidR="001F2EE3">
              <w:rPr>
                <w:rFonts w:eastAsia="MS Mincho" w:cs="Arial"/>
                <w:bCs/>
              </w:rPr>
              <w:t>da</w:t>
            </w:r>
            <w:r w:rsidRPr="00EC5662">
              <w:rPr>
                <w:rFonts w:eastAsia="MS Mincho" w:cs="Arial"/>
                <w:bCs/>
              </w:rPr>
              <w:t>vků stanovených předpisem EU?</w:t>
            </w:r>
            <w:r w:rsidRPr="00EC5662" w:rsidR="008B7039">
              <w:rPr>
                <w:rFonts w:eastAsia="MS Mincho" w:cs="Arial"/>
                <w:bCs/>
              </w:rPr>
              <w:t xml:space="preserve"> Ne</w:t>
            </w:r>
          </w:p>
        </w:tc>
      </w:tr>
      <w:tr w14:paraId="0A549234"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12" w:space="0" w:color="auto"/>
              <w:left w:val="single" w:sz="12" w:space="0" w:color="auto"/>
              <w:bottom w:val="single" w:sz="12" w:space="0" w:color="auto"/>
              <w:right w:val="single" w:sz="12" w:space="0" w:color="auto"/>
            </w:tcBorders>
            <w:shd w:val="clear" w:color="auto" w:fill="99CCFF"/>
          </w:tcPr>
          <w:p w:rsidR="00EF5D0B" w:rsidRPr="00C04D5B" w:rsidP="00C502C0" w14:paraId="7EF7FA91" w14:textId="782E7464">
            <w:pPr>
              <w:tabs>
                <w:tab w:val="left" w:pos="6660"/>
              </w:tabs>
              <w:spacing w:before="60" w:after="60"/>
              <w:rPr>
                <w:rFonts w:eastAsia="MS Mincho" w:cs="Arial"/>
                <w:bCs/>
                <w:sz w:val="24"/>
              </w:rPr>
            </w:pPr>
            <w:r w:rsidRPr="00C04D5B">
              <w:rPr>
                <w:rFonts w:eastAsia="MS Mincho" w:cs="Arial"/>
                <w:bCs/>
                <w:sz w:val="24"/>
              </w:rPr>
              <w:t>2. Cíl návrhu</w:t>
            </w:r>
            <w:r w:rsidR="00627517">
              <w:rPr>
                <w:rFonts w:eastAsia="MS Mincho" w:cs="Arial"/>
                <w:bCs/>
                <w:sz w:val="24"/>
              </w:rPr>
              <w:t xml:space="preserve"> vyhlášky</w:t>
            </w:r>
          </w:p>
        </w:tc>
      </w:tr>
      <w:tr w14:paraId="74A56482"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12" w:space="0" w:color="auto"/>
              <w:left w:val="single" w:sz="12" w:space="0" w:color="auto"/>
              <w:bottom w:val="single" w:sz="12" w:space="0" w:color="auto"/>
              <w:right w:val="single" w:sz="12" w:space="0" w:color="auto"/>
            </w:tcBorders>
            <w:shd w:val="clear" w:color="auto" w:fill="auto"/>
          </w:tcPr>
          <w:p w:rsidR="00F26C2D" w:rsidRPr="00EC5662" w:rsidP="00C502C0" w14:paraId="454E75A5" w14:textId="0BD5C4B7">
            <w:pPr>
              <w:tabs>
                <w:tab w:val="left" w:pos="1037"/>
              </w:tabs>
              <w:spacing w:before="60" w:after="60"/>
              <w:rPr>
                <w:rFonts w:eastAsia="MS Mincho" w:cs="Arial"/>
                <w:bCs/>
              </w:rPr>
            </w:pPr>
            <w:r w:rsidRPr="00EC5662">
              <w:rPr>
                <w:rFonts w:eastAsia="MS Mincho" w:cs="Arial"/>
                <w:bCs/>
              </w:rPr>
              <w:t>Hlavním cílem je implementace požadavků evropské legislativy, zlepšení nakládání s </w:t>
            </w:r>
            <w:r w:rsidRPr="00EC5662" w:rsidR="004D0AB7">
              <w:rPr>
                <w:rFonts w:eastAsia="MS Mincho" w:cs="Arial"/>
                <w:bCs/>
              </w:rPr>
              <w:t>jednorázovými</w:t>
            </w:r>
            <w:r w:rsidRPr="00EC5662">
              <w:rPr>
                <w:rFonts w:eastAsia="MS Mincho" w:cs="Arial"/>
                <w:bCs/>
              </w:rPr>
              <w:t xml:space="preserve"> plastovými </w:t>
            </w:r>
            <w:r w:rsidRPr="00EC5662" w:rsidR="00402206">
              <w:rPr>
                <w:rFonts w:eastAsia="MS Mincho" w:cs="Arial"/>
                <w:bCs/>
              </w:rPr>
              <w:t>obal</w:t>
            </w:r>
            <w:r w:rsidRPr="00EC5662" w:rsidR="004D0AB7">
              <w:rPr>
                <w:rFonts w:eastAsia="MS Mincho" w:cs="Arial"/>
                <w:bCs/>
              </w:rPr>
              <w:t>y</w:t>
            </w:r>
            <w:r w:rsidRPr="00EC5662" w:rsidR="00402206">
              <w:rPr>
                <w:rFonts w:eastAsia="MS Mincho" w:cs="Arial"/>
                <w:bCs/>
              </w:rPr>
              <w:t xml:space="preserve"> a obalový</w:t>
            </w:r>
            <w:r w:rsidRPr="00EC5662" w:rsidR="004D0AB7">
              <w:rPr>
                <w:rFonts w:eastAsia="MS Mincho" w:cs="Arial"/>
                <w:bCs/>
              </w:rPr>
              <w:t>mi</w:t>
            </w:r>
            <w:r w:rsidRPr="00EC5662" w:rsidR="00402206">
              <w:rPr>
                <w:rFonts w:eastAsia="MS Mincho" w:cs="Arial"/>
                <w:bCs/>
              </w:rPr>
              <w:t xml:space="preserve"> prostředk</w:t>
            </w:r>
            <w:r w:rsidRPr="00EC5662" w:rsidR="004D0AB7">
              <w:rPr>
                <w:rFonts w:eastAsia="MS Mincho" w:cs="Arial"/>
                <w:bCs/>
              </w:rPr>
              <w:t>y</w:t>
            </w:r>
            <w:r w:rsidRPr="00EC5662" w:rsidR="00283CE2">
              <w:rPr>
                <w:rFonts w:eastAsia="MS Mincho" w:cs="Arial"/>
                <w:bCs/>
              </w:rPr>
              <w:t xml:space="preserve">, omezení negativních dopadů na životní prostředí, </w:t>
            </w:r>
            <w:r w:rsidRPr="00EC5662">
              <w:rPr>
                <w:rFonts w:eastAsia="MS Mincho" w:cs="Arial"/>
                <w:bCs/>
              </w:rPr>
              <w:t>a</w:t>
            </w:r>
            <w:r w:rsidRPr="00EC5662" w:rsidR="00283CE2">
              <w:rPr>
                <w:rFonts w:eastAsia="MS Mincho" w:cs="Arial"/>
                <w:bCs/>
              </w:rPr>
              <w:t> </w:t>
            </w:r>
            <w:r w:rsidRPr="00EC5662">
              <w:rPr>
                <w:rFonts w:eastAsia="MS Mincho" w:cs="Arial"/>
                <w:bCs/>
              </w:rPr>
              <w:t xml:space="preserve">zároveň zajištění informací ohledně toku </w:t>
            </w:r>
            <w:r w:rsidRPr="00EC5662" w:rsidR="0026644B">
              <w:rPr>
                <w:rFonts w:eastAsia="MS Mincho" w:cs="Arial"/>
                <w:bCs/>
              </w:rPr>
              <w:t xml:space="preserve">jednorázových plastových obalů </w:t>
            </w:r>
            <w:r w:rsidRPr="00EC5662">
              <w:rPr>
                <w:rFonts w:eastAsia="MS Mincho" w:cs="Arial"/>
                <w:bCs/>
              </w:rPr>
              <w:t>a dat o odpadech z</w:t>
            </w:r>
            <w:r w:rsidRPr="00EC5662" w:rsidR="0026644B">
              <w:rPr>
                <w:rFonts w:eastAsia="MS Mincho" w:cs="Arial"/>
                <w:bCs/>
              </w:rPr>
              <w:t> těchto obalů</w:t>
            </w:r>
            <w:r w:rsidRPr="00EC5662" w:rsidR="00402206">
              <w:rPr>
                <w:rFonts w:eastAsia="MS Mincho" w:cs="Arial"/>
                <w:bCs/>
              </w:rPr>
              <w:t xml:space="preserve"> </w:t>
            </w:r>
            <w:r w:rsidRPr="00EC5662">
              <w:rPr>
                <w:rFonts w:eastAsia="MS Mincho" w:cs="Arial"/>
                <w:bCs/>
              </w:rPr>
              <w:t>pro reporting EU</w:t>
            </w:r>
            <w:r w:rsidRPr="00EC5662" w:rsidR="00225B6D">
              <w:rPr>
                <w:rFonts w:eastAsia="MS Mincho" w:cs="Arial"/>
                <w:bCs/>
              </w:rPr>
              <w:t xml:space="preserve">. </w:t>
            </w:r>
          </w:p>
          <w:p w:rsidR="00EB5FC4" w:rsidRPr="00EC5662" w:rsidP="00C502C0" w14:paraId="0648DC9A" w14:textId="77777777">
            <w:pPr>
              <w:tabs>
                <w:tab w:val="left" w:pos="1037"/>
              </w:tabs>
              <w:spacing w:before="60" w:after="60"/>
              <w:rPr>
                <w:rFonts w:eastAsia="MS Mincho" w:cs="Arial"/>
                <w:bCs/>
              </w:rPr>
            </w:pPr>
            <w:r w:rsidRPr="00EC5662">
              <w:rPr>
                <w:rFonts w:eastAsia="MS Mincho" w:cs="Arial"/>
                <w:bCs/>
              </w:rPr>
              <w:t xml:space="preserve">Vyhláška </w:t>
            </w:r>
            <w:r w:rsidRPr="00EC5662" w:rsidR="00F26C2D">
              <w:rPr>
                <w:rFonts w:eastAsia="MS Mincho" w:cs="Arial"/>
                <w:bCs/>
              </w:rPr>
              <w:t>stanov</w:t>
            </w:r>
            <w:r w:rsidRPr="00EC5662" w:rsidR="0026644B">
              <w:rPr>
                <w:rFonts w:eastAsia="MS Mincho" w:cs="Arial"/>
                <w:bCs/>
              </w:rPr>
              <w:t>uje</w:t>
            </w:r>
            <w:r w:rsidRPr="00EC5662">
              <w:rPr>
                <w:rFonts w:eastAsia="MS Mincho" w:cs="Arial"/>
                <w:bCs/>
              </w:rPr>
              <w:t>:</w:t>
            </w:r>
          </w:p>
          <w:p w:rsidR="00E83B0B" w:rsidRPr="00EC5662" w:rsidP="00C502C0" w14:paraId="17FC9D19" w14:textId="0D52D95D">
            <w:pPr>
              <w:pStyle w:val="ListParagraph"/>
              <w:numPr>
                <w:ilvl w:val="0"/>
                <w:numId w:val="34"/>
              </w:numPr>
              <w:tabs>
                <w:tab w:val="left" w:pos="1037"/>
              </w:tabs>
              <w:spacing w:before="60" w:after="60"/>
              <w:rPr>
                <w:rFonts w:eastAsia="MS Mincho" w:cs="Arial"/>
                <w:bCs/>
              </w:rPr>
            </w:pPr>
            <w:r w:rsidRPr="00EC5662">
              <w:rPr>
                <w:rFonts w:eastAsia="MS Mincho" w:cs="Arial"/>
                <w:bCs/>
              </w:rPr>
              <w:t>minimální rozsah a způsob vedení informačních kampaní ze strany výrobců a</w:t>
            </w:r>
            <w:r w:rsidRPr="00EC5662" w:rsidR="00EB5FC4">
              <w:rPr>
                <w:rFonts w:eastAsia="MS Mincho" w:cs="Arial"/>
                <w:bCs/>
              </w:rPr>
              <w:t> </w:t>
            </w:r>
            <w:r w:rsidRPr="00EC5662" w:rsidR="00402206">
              <w:rPr>
                <w:rFonts w:eastAsia="MS Mincho" w:cs="Arial"/>
                <w:bCs/>
              </w:rPr>
              <w:t>autorizované obalové společnosti (AOS)</w:t>
            </w:r>
            <w:r w:rsidRPr="00EC5662" w:rsidR="0026644B">
              <w:rPr>
                <w:rFonts w:eastAsia="MS Mincho" w:cs="Arial"/>
                <w:bCs/>
              </w:rPr>
              <w:t xml:space="preserve"> pro</w:t>
            </w:r>
            <w:r w:rsidRPr="00EC5662" w:rsidR="00283CE2">
              <w:rPr>
                <w:rFonts w:eastAsia="MS Mincho" w:cs="Arial"/>
                <w:bCs/>
              </w:rPr>
              <w:t xml:space="preserve"> </w:t>
            </w:r>
            <w:r w:rsidRPr="00EC5662" w:rsidR="007F5DCB">
              <w:rPr>
                <w:rFonts w:eastAsia="MS Mincho" w:cs="Arial"/>
                <w:bCs/>
              </w:rPr>
              <w:t>zaji</w:t>
            </w:r>
            <w:r w:rsidRPr="00EC5662" w:rsidR="0026644B">
              <w:rPr>
                <w:rFonts w:eastAsia="MS Mincho" w:cs="Arial"/>
                <w:bCs/>
              </w:rPr>
              <w:t>štění</w:t>
            </w:r>
            <w:r w:rsidRPr="00EC5662" w:rsidR="007F5DCB">
              <w:rPr>
                <w:rFonts w:eastAsia="MS Mincho" w:cs="Arial"/>
                <w:bCs/>
              </w:rPr>
              <w:t xml:space="preserve"> vyšší informovanost</w:t>
            </w:r>
            <w:r w:rsidRPr="00EC5662" w:rsidR="0026644B">
              <w:rPr>
                <w:rFonts w:eastAsia="MS Mincho" w:cs="Arial"/>
                <w:bCs/>
              </w:rPr>
              <w:t>i</w:t>
            </w:r>
            <w:r w:rsidRPr="00EC5662" w:rsidR="007F5DCB">
              <w:rPr>
                <w:rFonts w:eastAsia="MS Mincho" w:cs="Arial"/>
                <w:bCs/>
              </w:rPr>
              <w:t xml:space="preserve"> konečných uživatelů ohledně správného nakládání s</w:t>
            </w:r>
            <w:r w:rsidRPr="00EC5662" w:rsidR="0026644B">
              <w:rPr>
                <w:rFonts w:eastAsia="MS Mincho" w:cs="Arial"/>
                <w:bCs/>
              </w:rPr>
              <w:t xml:space="preserve"> jednorázovými </w:t>
            </w:r>
            <w:r w:rsidRPr="00EC5662" w:rsidR="007F5DCB">
              <w:rPr>
                <w:rFonts w:eastAsia="MS Mincho" w:cs="Arial"/>
                <w:bCs/>
              </w:rPr>
              <w:t xml:space="preserve">plastovými </w:t>
            </w:r>
            <w:r w:rsidRPr="00EC5662" w:rsidR="0026644B">
              <w:rPr>
                <w:rFonts w:eastAsia="MS Mincho" w:cs="Arial"/>
                <w:bCs/>
              </w:rPr>
              <w:t>obaly</w:t>
            </w:r>
          </w:p>
          <w:p w:rsidR="00720E10" w:rsidRPr="00EC5662" w:rsidP="00C502C0" w14:paraId="0F987113" w14:textId="549ADE6D">
            <w:pPr>
              <w:pStyle w:val="ListParagraph"/>
              <w:numPr>
                <w:ilvl w:val="0"/>
                <w:numId w:val="34"/>
              </w:numPr>
              <w:spacing w:before="60" w:after="60"/>
              <w:rPr>
                <w:rFonts w:eastAsia="MS Mincho" w:cs="Arial"/>
                <w:bCs/>
              </w:rPr>
            </w:pPr>
            <w:r w:rsidRPr="00EC5662">
              <w:rPr>
                <w:rFonts w:eastAsia="MS Mincho" w:cs="Arial"/>
                <w:bCs/>
              </w:rPr>
              <w:t xml:space="preserve">rozsah a způsob </w:t>
            </w:r>
            <w:r w:rsidRPr="00EC5662" w:rsidR="00283CE2">
              <w:rPr>
                <w:rFonts w:eastAsia="MS Mincho" w:cs="Arial"/>
                <w:bCs/>
              </w:rPr>
              <w:t>vedení evidenc</w:t>
            </w:r>
            <w:r w:rsidRPr="00EC5662" w:rsidR="00EB5FC4">
              <w:rPr>
                <w:rFonts w:eastAsia="MS Mincho" w:cs="Arial"/>
                <w:bCs/>
              </w:rPr>
              <w:t>e</w:t>
            </w:r>
            <w:r w:rsidRPr="00EC5662" w:rsidR="00283CE2">
              <w:rPr>
                <w:rFonts w:eastAsia="MS Mincho" w:cs="Arial"/>
                <w:bCs/>
              </w:rPr>
              <w:t xml:space="preserve"> a ohlašování pro</w:t>
            </w:r>
            <w:r w:rsidRPr="00EC5662">
              <w:rPr>
                <w:rFonts w:eastAsia="MS Mincho" w:cs="Arial"/>
                <w:bCs/>
              </w:rPr>
              <w:t xml:space="preserve"> výrobc</w:t>
            </w:r>
            <w:r w:rsidRPr="00EC5662" w:rsidR="00283CE2">
              <w:rPr>
                <w:rFonts w:eastAsia="MS Mincho" w:cs="Arial"/>
                <w:bCs/>
              </w:rPr>
              <w:t>e</w:t>
            </w:r>
            <w:r w:rsidRPr="00EC5662">
              <w:rPr>
                <w:rFonts w:eastAsia="MS Mincho" w:cs="Arial"/>
                <w:bCs/>
              </w:rPr>
              <w:t xml:space="preserve"> </w:t>
            </w:r>
            <w:r w:rsidRPr="00EC5662" w:rsidR="00EB5FC4">
              <w:rPr>
                <w:rFonts w:eastAsia="MS Mincho" w:cs="Arial"/>
                <w:bCs/>
              </w:rPr>
              <w:t>nápojových kelímků a jednorázových plastových nádob na potraviny</w:t>
            </w:r>
            <w:r w:rsidRPr="00EC5662" w:rsidR="00EB5FC4">
              <w:rPr>
                <w:rFonts w:eastAsia="MS Mincho" w:cs="Arial"/>
                <w:bCs/>
                <w:highlight w:val="yellow"/>
              </w:rPr>
              <w:t xml:space="preserve"> </w:t>
            </w:r>
          </w:p>
          <w:p w:rsidR="00EB5FC4" w:rsidRPr="00EB5FC4" w:rsidP="00C502C0" w14:paraId="69797C60" w14:textId="509EB141">
            <w:pPr>
              <w:pStyle w:val="ListParagraph"/>
              <w:numPr>
                <w:ilvl w:val="0"/>
                <w:numId w:val="34"/>
              </w:numPr>
              <w:spacing w:before="60" w:after="60"/>
              <w:rPr>
                <w:rFonts w:eastAsia="MS Mincho" w:cs="Arial"/>
                <w:bCs/>
                <w:sz w:val="24"/>
              </w:rPr>
            </w:pPr>
            <w:r w:rsidRPr="00EC5662">
              <w:rPr>
                <w:rFonts w:eastAsia="MS Mincho" w:cs="Arial"/>
                <w:bCs/>
              </w:rPr>
              <w:t xml:space="preserve">pravidla výpočtu úrovně zpětného odběru odpadu z jednorázových plastových nápojových lahví </w:t>
            </w:r>
          </w:p>
        </w:tc>
      </w:tr>
      <w:tr w14:paraId="15DE3512"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rsidR="00EF5D0B" w:rsidRPr="00C04D5B" w:rsidP="00C502C0" w14:paraId="080DD62D" w14:textId="0274256C">
            <w:pPr>
              <w:tabs>
                <w:tab w:val="left" w:pos="1037"/>
              </w:tabs>
              <w:spacing w:before="60" w:after="60"/>
              <w:rPr>
                <w:rFonts w:eastAsia="MS Mincho" w:cs="Arial"/>
                <w:bCs/>
                <w:sz w:val="24"/>
              </w:rPr>
            </w:pPr>
            <w:r w:rsidRPr="00C04D5B">
              <w:rPr>
                <w:rFonts w:eastAsia="MS Mincho" w:cs="Arial"/>
                <w:bCs/>
                <w:sz w:val="24"/>
              </w:rPr>
              <w:t xml:space="preserve">3. </w:t>
            </w:r>
            <w:r w:rsidRPr="00C04D5B">
              <w:rPr>
                <w:rFonts w:eastAsia="MS Mincho" w:cs="Arial"/>
                <w:sz w:val="24"/>
              </w:rPr>
              <w:t>Agregované</w:t>
            </w:r>
            <w:r w:rsidRPr="00C04D5B">
              <w:rPr>
                <w:rFonts w:eastAsia="MS Mincho" w:cs="Arial"/>
                <w:bCs/>
                <w:sz w:val="24"/>
              </w:rPr>
              <w:t xml:space="preserve"> dopady návrhu </w:t>
            </w:r>
            <w:r w:rsidR="00627517">
              <w:rPr>
                <w:rFonts w:eastAsia="MS Mincho" w:cs="Arial"/>
                <w:bCs/>
                <w:sz w:val="24"/>
              </w:rPr>
              <w:t>vyhlášky</w:t>
            </w:r>
          </w:p>
        </w:tc>
      </w:tr>
      <w:tr w14:paraId="7F44D4E2"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rsidR="00EF5D0B" w:rsidRPr="00C04D5B" w:rsidP="00C502C0" w14:paraId="08A6BA46" w14:textId="36806BFF">
            <w:pPr>
              <w:tabs>
                <w:tab w:val="left" w:pos="1037"/>
              </w:tabs>
              <w:spacing w:before="60" w:after="60"/>
              <w:rPr>
                <w:rFonts w:eastAsia="MS Mincho" w:cs="Arial"/>
                <w:bCs/>
                <w:sz w:val="24"/>
              </w:rPr>
            </w:pPr>
            <w:r w:rsidRPr="00C04D5B">
              <w:rPr>
                <w:rFonts w:eastAsia="MS Mincho" w:cs="Arial"/>
                <w:bCs/>
                <w:sz w:val="24"/>
              </w:rPr>
              <w:t>3.1 Dopady na státní rozpočet a ostatní veřejné rozpočty:</w:t>
            </w:r>
            <w:r w:rsidR="00AB4EB4">
              <w:rPr>
                <w:rFonts w:eastAsia="MS Mincho" w:cs="Arial"/>
                <w:bCs/>
                <w:sz w:val="24"/>
              </w:rPr>
              <w:t xml:space="preserve"> </w:t>
            </w:r>
          </w:p>
        </w:tc>
      </w:tr>
      <w:tr w14:paraId="5BD222F0"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rsidR="00FF50CF" w:rsidRPr="00EC5662" w:rsidP="00C502C0" w14:paraId="26FBA8F0" w14:textId="2A28C66D">
            <w:pPr>
              <w:spacing w:before="60" w:after="60"/>
              <w:rPr>
                <w:rFonts w:eastAsia="MS Mincho" w:cs="Arial"/>
                <w:bCs/>
              </w:rPr>
            </w:pPr>
            <w:r w:rsidRPr="00EC5662">
              <w:rPr>
                <w:rFonts w:eastAsia="MS Mincho" w:cs="Arial"/>
                <w:b/>
                <w:bCs/>
              </w:rPr>
              <w:t>Ohlašování dat o vybraných plastových výrobcích prostřednictvím ISPOP</w:t>
            </w:r>
            <w:r w:rsidRPr="00EC5662" w:rsidR="0068497D">
              <w:rPr>
                <w:rFonts w:eastAsia="MS Mincho" w:cs="Arial"/>
                <w:bCs/>
              </w:rPr>
              <w:t xml:space="preserve"> </w:t>
            </w:r>
            <w:r w:rsidRPr="00EC5662" w:rsidR="00595B0B">
              <w:rPr>
                <w:rFonts w:eastAsia="MS Mincho" w:cs="Arial"/>
                <w:bCs/>
              </w:rPr>
              <w:t>–</w:t>
            </w:r>
            <w:r w:rsidRPr="00EC5662" w:rsidR="0068497D">
              <w:rPr>
                <w:rFonts w:eastAsia="MS Mincho" w:cs="Arial"/>
                <w:bCs/>
              </w:rPr>
              <w:t xml:space="preserve"> </w:t>
            </w:r>
            <w:r w:rsidRPr="00EC5662" w:rsidR="00595B0B">
              <w:rPr>
                <w:rFonts w:eastAsia="MS Mincho" w:cs="Arial"/>
                <w:bCs/>
              </w:rPr>
              <w:t xml:space="preserve">potřeba </w:t>
            </w:r>
            <w:r w:rsidRPr="00EC5662" w:rsidR="0068497D">
              <w:rPr>
                <w:rFonts w:eastAsia="MS Mincho" w:cs="Arial"/>
                <w:bCs/>
              </w:rPr>
              <w:t>vytvoření</w:t>
            </w:r>
            <w:r w:rsidRPr="00EC5662" w:rsidR="00595B0B">
              <w:rPr>
                <w:rFonts w:eastAsia="MS Mincho" w:cs="Arial"/>
                <w:bCs/>
              </w:rPr>
              <w:t xml:space="preserve"> </w:t>
            </w:r>
            <w:r w:rsidRPr="00EC5662" w:rsidR="0068497D">
              <w:rPr>
                <w:rFonts w:eastAsia="MS Mincho" w:cs="Arial"/>
                <w:bCs/>
              </w:rPr>
              <w:t>formulář</w:t>
            </w:r>
            <w:r w:rsidRPr="00EC5662" w:rsidR="00545412">
              <w:rPr>
                <w:rFonts w:eastAsia="MS Mincho" w:cs="Arial"/>
                <w:bCs/>
              </w:rPr>
              <w:t>e</w:t>
            </w:r>
            <w:r w:rsidRPr="00EC5662" w:rsidR="0068497D">
              <w:rPr>
                <w:rFonts w:eastAsia="MS Mincho" w:cs="Arial"/>
                <w:bCs/>
              </w:rPr>
              <w:t xml:space="preserve"> pro ohlašování </w:t>
            </w:r>
            <w:r w:rsidRPr="00EC5662" w:rsidR="00545412">
              <w:rPr>
                <w:rFonts w:eastAsia="MS Mincho" w:cs="Arial"/>
                <w:bCs/>
              </w:rPr>
              <w:t>množství recyklátu v nápojových PET lahvích</w:t>
            </w:r>
            <w:r w:rsidRPr="00EC5662" w:rsidR="0068497D">
              <w:rPr>
                <w:rFonts w:eastAsia="MS Mincho" w:cs="Arial"/>
                <w:bCs/>
              </w:rPr>
              <w:t>, které výrobce uvedl na trh a integrace těchto požadavků do nového informačního systému ISOH2</w:t>
            </w:r>
            <w:r w:rsidRPr="00EC5662" w:rsidR="00545412">
              <w:rPr>
                <w:rFonts w:eastAsia="MS Mincho" w:cs="Arial"/>
                <w:bCs/>
              </w:rPr>
              <w:t>:</w:t>
            </w:r>
            <w:r w:rsidRPr="00EC5662" w:rsidR="0068497D">
              <w:rPr>
                <w:rFonts w:eastAsia="MS Mincho" w:cs="Arial"/>
                <w:bCs/>
              </w:rPr>
              <w:t xml:space="preserve"> </w:t>
            </w:r>
          </w:p>
          <w:p w:rsidR="00FF50CF" w:rsidRPr="00EC5662" w:rsidP="00C502C0" w14:paraId="1F8CB8CF" w14:textId="4C45B946">
            <w:pPr>
              <w:pStyle w:val="ListParagraph"/>
              <w:numPr>
                <w:ilvl w:val="0"/>
                <w:numId w:val="30"/>
              </w:numPr>
              <w:spacing w:before="60" w:after="60"/>
              <w:rPr>
                <w:rFonts w:eastAsia="MS Mincho" w:cs="Arial"/>
                <w:bCs/>
              </w:rPr>
            </w:pPr>
            <w:r w:rsidRPr="00EC5662">
              <w:rPr>
                <w:rFonts w:eastAsia="MS Mincho" w:cs="Arial"/>
                <w:bCs/>
              </w:rPr>
              <w:t xml:space="preserve">CENIA </w:t>
            </w:r>
            <w:r w:rsidRPr="00EC5662">
              <w:rPr>
                <w:rFonts w:eastAsia="MS Mincho" w:cs="Arial"/>
                <w:bCs/>
              </w:rPr>
              <w:t>jednorázové náklady</w:t>
            </w:r>
            <w:r w:rsidRPr="00EC5662">
              <w:rPr>
                <w:rFonts w:eastAsia="MS Mincho" w:cs="Arial"/>
                <w:bCs/>
              </w:rPr>
              <w:t xml:space="preserve"> </w:t>
            </w:r>
            <w:r w:rsidRPr="00EC5662">
              <w:rPr>
                <w:rFonts w:eastAsia="MS Mincho" w:cs="Arial"/>
                <w:bCs/>
              </w:rPr>
              <w:t>na nov</w:t>
            </w:r>
            <w:r w:rsidRPr="00EC5662" w:rsidR="00545412">
              <w:rPr>
                <w:rFonts w:eastAsia="MS Mincho" w:cs="Arial"/>
                <w:bCs/>
              </w:rPr>
              <w:t>ý</w:t>
            </w:r>
            <w:r w:rsidRPr="00EC5662">
              <w:rPr>
                <w:rFonts w:eastAsia="MS Mincho" w:cs="Arial"/>
                <w:bCs/>
              </w:rPr>
              <w:t xml:space="preserve"> formulář</w:t>
            </w:r>
            <w:r w:rsidRPr="00EC5662" w:rsidR="00EC5662">
              <w:rPr>
                <w:rFonts w:eastAsia="MS Mincho" w:cs="Arial"/>
                <w:bCs/>
              </w:rPr>
              <w:t xml:space="preserve"> pro ohlašování množství recyklátu v nápojových PET lahvích</w:t>
            </w:r>
            <w:r w:rsidRPr="00EC5662">
              <w:rPr>
                <w:rFonts w:eastAsia="MS Mincho" w:cs="Arial"/>
                <w:bCs/>
              </w:rPr>
              <w:t xml:space="preserve"> </w:t>
            </w:r>
            <w:r w:rsidRPr="00EC5662">
              <w:rPr>
                <w:rFonts w:eastAsia="MS Mincho" w:cs="Arial"/>
                <w:bCs/>
              </w:rPr>
              <w:t xml:space="preserve">- </w:t>
            </w:r>
            <w:r w:rsidRPr="00EC5662">
              <w:rPr>
                <w:rFonts w:eastAsia="MS Mincho" w:cs="Arial"/>
                <w:bCs/>
              </w:rPr>
              <w:t xml:space="preserve">cca </w:t>
            </w:r>
            <w:r w:rsidRPr="00EC5662" w:rsidR="00EC5662">
              <w:rPr>
                <w:rFonts w:eastAsia="MS Mincho" w:cs="Arial"/>
                <w:bCs/>
              </w:rPr>
              <w:t>500 tis</w:t>
            </w:r>
            <w:r w:rsidRPr="00EC5662">
              <w:rPr>
                <w:rFonts w:eastAsia="MS Mincho" w:cs="Arial"/>
                <w:bCs/>
              </w:rPr>
              <w:t>. Kč</w:t>
            </w:r>
          </w:p>
          <w:p w:rsidR="00FF50CF" w:rsidRPr="00EC5662" w:rsidP="00C502C0" w14:paraId="749AAAD2" w14:textId="20A91E97">
            <w:pPr>
              <w:pStyle w:val="ListParagraph"/>
              <w:numPr>
                <w:ilvl w:val="0"/>
                <w:numId w:val="30"/>
              </w:numPr>
              <w:spacing w:before="60" w:after="60"/>
              <w:rPr>
                <w:rFonts w:eastAsia="MS Mincho" w:cs="Arial"/>
                <w:bCs/>
              </w:rPr>
            </w:pPr>
            <w:r w:rsidRPr="00EC5662">
              <w:rPr>
                <w:rFonts w:eastAsia="MS Mincho" w:cs="Arial"/>
                <w:bCs/>
              </w:rPr>
              <w:t xml:space="preserve">jednorázová administrativní zátěž </w:t>
            </w:r>
            <w:r w:rsidRPr="00EC5662" w:rsidR="0068497D">
              <w:rPr>
                <w:rFonts w:eastAsia="MS Mincho" w:cs="Arial"/>
                <w:bCs/>
              </w:rPr>
              <w:t>- cca</w:t>
            </w:r>
            <w:r w:rsidRPr="00EC5662">
              <w:rPr>
                <w:rFonts w:eastAsia="MS Mincho" w:cs="Arial"/>
                <w:bCs/>
              </w:rPr>
              <w:t xml:space="preserve"> </w:t>
            </w:r>
            <w:r w:rsidRPr="00EC5662" w:rsidR="00EC5662">
              <w:rPr>
                <w:rFonts w:eastAsia="MS Mincho" w:cs="Arial"/>
                <w:bCs/>
              </w:rPr>
              <w:t>150</w:t>
            </w:r>
            <w:r w:rsidRPr="00EC5662">
              <w:rPr>
                <w:rFonts w:eastAsia="MS Mincho" w:cs="Arial"/>
                <w:bCs/>
              </w:rPr>
              <w:t xml:space="preserve"> tis. Kč</w:t>
            </w:r>
          </w:p>
          <w:p w:rsidR="00FF50CF" w:rsidRPr="00EC5662" w:rsidP="00C502C0" w14:paraId="6C984162" w14:textId="77777777">
            <w:pPr>
              <w:pStyle w:val="ListParagraph"/>
              <w:numPr>
                <w:ilvl w:val="0"/>
                <w:numId w:val="30"/>
              </w:numPr>
              <w:spacing w:before="60" w:after="60"/>
              <w:rPr>
                <w:rFonts w:eastAsia="MS Mincho" w:cs="Arial"/>
                <w:bCs/>
              </w:rPr>
            </w:pPr>
            <w:r w:rsidRPr="00EC5662">
              <w:rPr>
                <w:rFonts w:eastAsia="MS Mincho" w:cs="Arial"/>
                <w:bCs/>
              </w:rPr>
              <w:t>pokryto v rámci prostředků alokovaných na ISOH2</w:t>
            </w:r>
          </w:p>
          <w:p w:rsidR="00402206" w:rsidRPr="00B9485C" w:rsidP="00C51652" w14:paraId="0EA7F0EB" w14:textId="39A91885">
            <w:pPr>
              <w:pStyle w:val="ListParagraph"/>
              <w:numPr>
                <w:ilvl w:val="0"/>
                <w:numId w:val="30"/>
              </w:numPr>
              <w:spacing w:before="60" w:after="60"/>
              <w:rPr>
                <w:rFonts w:cs="Arial"/>
                <w:sz w:val="24"/>
              </w:rPr>
            </w:pPr>
            <w:r w:rsidRPr="00EC5662">
              <w:rPr>
                <w:rFonts w:eastAsia="MS Mincho" w:cs="Arial"/>
                <w:bCs/>
              </w:rPr>
              <w:t xml:space="preserve">MŽP </w:t>
            </w:r>
            <w:r w:rsidRPr="00EC5662" w:rsidR="00FF50CF">
              <w:rPr>
                <w:rFonts w:eastAsia="MS Mincho" w:cs="Arial"/>
                <w:bCs/>
              </w:rPr>
              <w:t xml:space="preserve">jednorázová administrativní zátěž </w:t>
            </w:r>
            <w:r w:rsidRPr="00EC5662">
              <w:rPr>
                <w:rFonts w:eastAsia="MS Mincho" w:cs="Arial"/>
                <w:bCs/>
              </w:rPr>
              <w:t>- cca</w:t>
            </w:r>
            <w:r w:rsidRPr="00EC5662" w:rsidR="00FF50CF">
              <w:rPr>
                <w:rFonts w:eastAsia="MS Mincho" w:cs="Arial"/>
                <w:bCs/>
              </w:rPr>
              <w:t xml:space="preserve"> </w:t>
            </w:r>
            <w:r w:rsidRPr="00EC5662" w:rsidR="00EC5662">
              <w:rPr>
                <w:rFonts w:eastAsia="MS Mincho" w:cs="Arial"/>
                <w:bCs/>
              </w:rPr>
              <w:t>11</w:t>
            </w:r>
            <w:r w:rsidRPr="00EC5662" w:rsidR="00FF50CF">
              <w:rPr>
                <w:rFonts w:eastAsia="MS Mincho" w:cs="Arial"/>
                <w:bCs/>
              </w:rPr>
              <w:t xml:space="preserve"> tis. Kč (v rámci stávajících personálních kapacit</w:t>
            </w:r>
          </w:p>
        </w:tc>
      </w:tr>
      <w:tr w14:paraId="56398271"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rsidR="00EF5D0B" w:rsidRPr="00C04D5B" w:rsidP="00C502C0" w14:paraId="27933A8A" w14:textId="6EC8288D">
            <w:pPr>
              <w:tabs>
                <w:tab w:val="left" w:pos="1037"/>
              </w:tabs>
              <w:spacing w:before="60" w:after="60"/>
              <w:rPr>
                <w:rFonts w:eastAsia="MS Mincho" w:cs="Arial"/>
                <w:bCs/>
                <w:sz w:val="24"/>
              </w:rPr>
            </w:pPr>
            <w:r>
              <w:rPr>
                <w:rFonts w:eastAsia="MS Mincho" w:cs="Arial"/>
                <w:bCs/>
                <w:sz w:val="24"/>
              </w:rPr>
              <w:t>3.2 Dopady na mezinárodní konkurenceschopnost ČR</w:t>
            </w:r>
            <w:r w:rsidRPr="00C04D5B">
              <w:rPr>
                <w:rFonts w:eastAsia="MS Mincho" w:cs="Arial"/>
                <w:bCs/>
                <w:sz w:val="24"/>
              </w:rPr>
              <w:t xml:space="preserve">: </w:t>
            </w:r>
            <w:r w:rsidR="005D2DD6">
              <w:rPr>
                <w:rFonts w:eastAsia="MS Mincho" w:cs="Arial"/>
                <w:bCs/>
                <w:sz w:val="24"/>
              </w:rPr>
              <w:t>Ne</w:t>
            </w:r>
          </w:p>
        </w:tc>
      </w:tr>
      <w:tr w14:paraId="0B2464B7" w14:textId="77777777" w:rsidTr="007F5E1C">
        <w:tblPrEx>
          <w:tblW w:w="9648" w:type="dxa"/>
          <w:tblBorders>
            <w:top w:val="single" w:sz="4" w:space="0" w:color="auto"/>
            <w:left w:val="single" w:sz="4" w:space="0" w:color="auto"/>
            <w:bottom w:val="single" w:sz="4" w:space="0" w:color="auto"/>
            <w:right w:val="single" w:sz="4" w:space="0" w:color="auto"/>
          </w:tblBorders>
          <w:tblLayout w:type="fixed"/>
          <w:tblLook w:val="00A0"/>
        </w:tblPrEx>
        <w:trPr>
          <w:trHeight w:val="340"/>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rsidR="00EF5D0B" w:rsidRPr="00C04D5B" w:rsidP="00C502C0" w14:paraId="774E1FBC" w14:textId="55A3684D">
            <w:pPr>
              <w:tabs>
                <w:tab w:val="left" w:pos="1037"/>
              </w:tabs>
              <w:spacing w:before="60" w:after="60"/>
              <w:rPr>
                <w:rFonts w:eastAsia="MS Mincho" w:cs="Arial"/>
                <w:bCs/>
                <w:sz w:val="24"/>
              </w:rPr>
            </w:pPr>
          </w:p>
        </w:tc>
      </w:tr>
      <w:tr w14:paraId="24A8E7FE"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rsidR="00EF5D0B" w:rsidRPr="00547C99" w:rsidP="00C502C0" w14:paraId="0E3865E0" w14:textId="28EF6C6E">
            <w:pPr>
              <w:pStyle w:val="ListParagraph"/>
              <w:numPr>
                <w:ilvl w:val="1"/>
                <w:numId w:val="24"/>
              </w:numPr>
              <w:tabs>
                <w:tab w:val="left" w:pos="1037"/>
              </w:tabs>
              <w:spacing w:before="60" w:after="60"/>
              <w:rPr>
                <w:rFonts w:eastAsia="MS Mincho" w:cs="Arial"/>
                <w:bCs/>
                <w:sz w:val="24"/>
              </w:rPr>
            </w:pPr>
            <w:r>
              <w:rPr>
                <w:rFonts w:eastAsia="MS Mincho" w:cs="Arial"/>
                <w:bCs/>
                <w:sz w:val="24"/>
              </w:rPr>
              <w:t xml:space="preserve"> </w:t>
            </w:r>
            <w:r w:rsidRPr="00547C99">
              <w:rPr>
                <w:rFonts w:eastAsia="MS Mincho" w:cs="Arial"/>
                <w:bCs/>
                <w:sz w:val="24"/>
              </w:rPr>
              <w:t xml:space="preserve">Dopady na podnikatelské prostředí: </w:t>
            </w:r>
            <w:r w:rsidRPr="00547C99" w:rsidR="00613DE6">
              <w:rPr>
                <w:rFonts w:eastAsia="MS Mincho" w:cs="Arial"/>
                <w:bCs/>
                <w:sz w:val="24"/>
              </w:rPr>
              <w:t>Ano</w:t>
            </w:r>
          </w:p>
        </w:tc>
      </w:tr>
      <w:tr w14:paraId="5AC30144"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rPr>
          <w:trHeight w:val="369"/>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rsidR="00110316" w:rsidRPr="00EC5662" w:rsidP="00C502C0" w14:paraId="2DECE601" w14:textId="0D548D15">
            <w:pPr>
              <w:tabs>
                <w:tab w:val="left" w:pos="1037"/>
              </w:tabs>
              <w:spacing w:before="60" w:after="60"/>
              <w:rPr>
                <w:rFonts w:cs="Arial"/>
              </w:rPr>
            </w:pPr>
            <w:r w:rsidRPr="00EC5662">
              <w:rPr>
                <w:rFonts w:cs="Arial"/>
              </w:rPr>
              <w:t xml:space="preserve">Vyhláška </w:t>
            </w:r>
            <w:r w:rsidRPr="00EC5662" w:rsidR="007F5E1C">
              <w:rPr>
                <w:rFonts w:eastAsia="MS Mincho" w:cs="Arial"/>
                <w:bCs/>
                <w:szCs w:val="22"/>
              </w:rPr>
              <w:t>upravuje a blíže specifikuje povinnosti stanovené zákonem</w:t>
            </w:r>
            <w:r w:rsidRPr="00EC5662">
              <w:rPr>
                <w:rFonts w:cs="Arial"/>
              </w:rPr>
              <w:t>, z čehož vyplývají</w:t>
            </w:r>
            <w:r w:rsidR="00085C54">
              <w:rPr>
                <w:rFonts w:cs="Arial"/>
              </w:rPr>
              <w:t xml:space="preserve"> osobám uvádějícím obaly na trh nebo do oběhu náklady</w:t>
            </w:r>
            <w:r w:rsidRPr="00EC5662" w:rsidR="00CD6413">
              <w:rPr>
                <w:rFonts w:cs="Arial"/>
              </w:rPr>
              <w:t xml:space="preserve"> na</w:t>
            </w:r>
            <w:r w:rsidRPr="00EC5662">
              <w:rPr>
                <w:rFonts w:cs="Arial"/>
              </w:rPr>
              <w:t>:</w:t>
            </w:r>
            <w:r w:rsidRPr="00EC5662" w:rsidR="00CD6413">
              <w:rPr>
                <w:rFonts w:cs="Arial"/>
              </w:rPr>
              <w:t xml:space="preserve"> </w:t>
            </w:r>
          </w:p>
          <w:p w:rsidR="00547C99" w:rsidRPr="00EC5662" w:rsidP="00C502C0" w14:paraId="095A87D6" w14:textId="39EBB9D8">
            <w:pPr>
              <w:pStyle w:val="ListParagraph"/>
              <w:numPr>
                <w:ilvl w:val="0"/>
                <w:numId w:val="31"/>
              </w:numPr>
              <w:tabs>
                <w:tab w:val="left" w:pos="1037"/>
              </w:tabs>
              <w:spacing w:before="60" w:after="60"/>
              <w:rPr>
                <w:rFonts w:cs="Arial"/>
              </w:rPr>
            </w:pPr>
            <w:bookmarkStart w:id="2" w:name="_Hlk117375897"/>
            <w:bookmarkStart w:id="3" w:name="_Hlk100322340"/>
            <w:r w:rsidRPr="00EC5662">
              <w:rPr>
                <w:rFonts w:cs="Arial"/>
              </w:rPr>
              <w:t>realizaci osvětových kampaní</w:t>
            </w:r>
            <w:r w:rsidR="00C51652">
              <w:rPr>
                <w:rFonts w:cs="Arial"/>
              </w:rPr>
              <w:t xml:space="preserve"> (pro </w:t>
            </w:r>
            <w:r w:rsidR="00085C54">
              <w:rPr>
                <w:rFonts w:cs="Arial"/>
              </w:rPr>
              <w:t>osoby</w:t>
            </w:r>
            <w:r w:rsidR="00C51652">
              <w:rPr>
                <w:rFonts w:cs="Arial"/>
              </w:rPr>
              <w:t xml:space="preserve"> plnící povinnosti rozšířené odpovědnosti výrobce prostřednictvím AOS nedojde ke změně nákladů)</w:t>
            </w:r>
            <w:r w:rsidRPr="00EC5662">
              <w:rPr>
                <w:rFonts w:cs="Arial"/>
              </w:rPr>
              <w:t xml:space="preserve"> </w:t>
            </w:r>
          </w:p>
          <w:p w:rsidR="00C51652" w:rsidRPr="003C1E74" w14:paraId="7ED8B5CA" w14:textId="6F32D914">
            <w:pPr>
              <w:pStyle w:val="ListParagraph"/>
              <w:numPr>
                <w:ilvl w:val="0"/>
                <w:numId w:val="31"/>
              </w:numPr>
              <w:spacing w:before="60" w:after="60"/>
              <w:rPr>
                <w:rFonts w:eastAsia="MS Mincho" w:cs="Arial"/>
                <w:bCs/>
                <w:i/>
                <w:sz w:val="24"/>
              </w:rPr>
            </w:pPr>
            <w:bookmarkStart w:id="4" w:name="_Hlk117375922"/>
            <w:bookmarkEnd w:id="2"/>
            <w:r w:rsidRPr="00EC5662">
              <w:rPr>
                <w:rFonts w:cs="Arial"/>
              </w:rPr>
              <w:t>vedení evidence a její ohlašování</w:t>
            </w:r>
            <w:r w:rsidRPr="00EC5662" w:rsidR="00435C58">
              <w:rPr>
                <w:rFonts w:cs="Arial"/>
              </w:rPr>
              <w:t xml:space="preserve"> prostřednictvím IS</w:t>
            </w:r>
            <w:r w:rsidRPr="00EC5662" w:rsidR="00110316">
              <w:rPr>
                <w:rFonts w:cs="Arial"/>
              </w:rPr>
              <w:t>POP</w:t>
            </w:r>
            <w:bookmarkEnd w:id="3"/>
            <w:r>
              <w:rPr>
                <w:rFonts w:cs="Arial"/>
              </w:rPr>
              <w:t xml:space="preserve"> </w:t>
            </w:r>
            <w:r w:rsidR="003E1817">
              <w:rPr>
                <w:rFonts w:cs="Arial"/>
              </w:rPr>
              <w:t xml:space="preserve">- </w:t>
            </w:r>
            <w:r>
              <w:rPr>
                <w:rFonts w:cs="Arial"/>
              </w:rPr>
              <w:t>nepředpokládá se navýšení nákladů výrobců či AOS oproti současnosti</w:t>
            </w:r>
            <w:r w:rsidR="003E1817">
              <w:rPr>
                <w:rFonts w:cs="Arial"/>
              </w:rPr>
              <w:t>, avšak v souvislosti s p</w:t>
            </w:r>
            <w:r w:rsidR="003E1817">
              <w:t xml:space="preserve">ovinným přimícháváním recyklátu do PET nápojových lahví </w:t>
            </w:r>
            <w:r>
              <w:rPr>
                <w:rFonts w:cs="Arial"/>
              </w:rPr>
              <w:t xml:space="preserve">se předpokládá </w:t>
            </w:r>
            <w:r w:rsidR="003E1817">
              <w:rPr>
                <w:rFonts w:cs="Arial"/>
              </w:rPr>
              <w:t xml:space="preserve">navýšení nákladů AOS z důvodu prodloužení </w:t>
            </w:r>
            <w:r w:rsidR="003E1817">
              <w:t xml:space="preserve">auditů evidencí výrobců a osob uvádějících na trh PET lahve </w:t>
            </w:r>
            <w:r w:rsidR="003E1817">
              <w:rPr>
                <w:rFonts w:cs="Arial"/>
              </w:rPr>
              <w:t>– cca je</w:t>
            </w:r>
            <w:r w:rsidR="003E1817">
              <w:t>dnotky milionů Kč/rok</w:t>
            </w:r>
            <w:bookmarkEnd w:id="4"/>
          </w:p>
        </w:tc>
      </w:tr>
      <w:tr w14:paraId="57341869"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rsidR="00EF5D0B" w:rsidRPr="00C04D5B" w:rsidP="00C502C0" w14:paraId="0614635A" w14:textId="3CBC72FF">
            <w:pPr>
              <w:tabs>
                <w:tab w:val="left" w:pos="1037"/>
              </w:tabs>
              <w:spacing w:before="60" w:after="60"/>
              <w:rPr>
                <w:rFonts w:eastAsia="MS Mincho" w:cs="Arial"/>
                <w:bCs/>
                <w:sz w:val="24"/>
              </w:rPr>
            </w:pPr>
            <w:r>
              <w:rPr>
                <w:rFonts w:eastAsia="MS Mincho" w:cs="Arial"/>
                <w:bCs/>
                <w:sz w:val="24"/>
              </w:rPr>
              <w:t>3.4</w:t>
            </w:r>
            <w:r w:rsidRPr="00C04D5B">
              <w:rPr>
                <w:rFonts w:eastAsia="MS Mincho" w:cs="Arial"/>
                <w:bCs/>
                <w:sz w:val="24"/>
              </w:rPr>
              <w:t xml:space="preserve"> Dopady na územní samosprávné celky (obce, kraje)</w:t>
            </w:r>
            <w:r w:rsidR="00AF183D">
              <w:rPr>
                <w:rFonts w:eastAsia="MS Mincho" w:cs="Arial"/>
                <w:bCs/>
                <w:sz w:val="24"/>
              </w:rPr>
              <w:t>:</w:t>
            </w:r>
            <w:r w:rsidRPr="00C04D5B">
              <w:rPr>
                <w:rFonts w:eastAsia="MS Mincho" w:cs="Arial"/>
                <w:bCs/>
                <w:sz w:val="24"/>
              </w:rPr>
              <w:t xml:space="preserve"> </w:t>
            </w:r>
            <w:r w:rsidR="00585F00">
              <w:rPr>
                <w:rFonts w:eastAsia="MS Mincho" w:cs="Arial"/>
                <w:bCs/>
                <w:sz w:val="24"/>
              </w:rPr>
              <w:t>Ano</w:t>
            </w:r>
          </w:p>
        </w:tc>
      </w:tr>
      <w:tr w14:paraId="08574DF7"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rsidR="007D1AAD" w:rsidRPr="00EC5662" w:rsidP="00C502C0" w14:paraId="3FAB9DEB" w14:textId="7FAC6693">
            <w:pPr>
              <w:tabs>
                <w:tab w:val="left" w:pos="1037"/>
              </w:tabs>
              <w:spacing w:before="60" w:after="60"/>
              <w:rPr>
                <w:rFonts w:eastAsia="MS Mincho" w:cs="Arial"/>
                <w:bCs/>
              </w:rPr>
            </w:pPr>
            <w:bookmarkStart w:id="5" w:name="_Hlk100322349"/>
            <w:r w:rsidRPr="00EC5662">
              <w:rPr>
                <w:rFonts w:eastAsia="MS Mincho" w:cs="Arial"/>
                <w:bCs/>
              </w:rPr>
              <w:t xml:space="preserve">Přímé dopady související se snížením nákladů obcí na úklid odpadků z jednorázových plastových </w:t>
            </w:r>
            <w:r w:rsidRPr="00EC5662" w:rsidR="00EC5662">
              <w:rPr>
                <w:rFonts w:eastAsia="MS Mincho" w:cs="Arial"/>
                <w:bCs/>
              </w:rPr>
              <w:t>obalů</w:t>
            </w:r>
            <w:r w:rsidRPr="00EC5662" w:rsidR="00547C99">
              <w:rPr>
                <w:rFonts w:eastAsia="MS Mincho" w:cs="Arial"/>
                <w:bCs/>
              </w:rPr>
              <w:t>, jehož se občané zbavují mimo místa k tomu určená k jeho odkládání, a</w:t>
            </w:r>
            <w:r w:rsidRPr="00EC5662" w:rsidR="00EC5662">
              <w:rPr>
                <w:rFonts w:eastAsia="MS Mincho" w:cs="Arial"/>
                <w:bCs/>
              </w:rPr>
              <w:t> </w:t>
            </w:r>
            <w:r w:rsidRPr="00EC5662" w:rsidR="00547C99">
              <w:rPr>
                <w:rFonts w:eastAsia="MS Mincho" w:cs="Arial"/>
                <w:bCs/>
              </w:rPr>
              <w:t>na následnou přepravu a zpracování tohoto odpadu a</w:t>
            </w:r>
            <w:r w:rsidRPr="00EC5662" w:rsidR="00CD6413">
              <w:rPr>
                <w:rFonts w:eastAsia="MS Mincho" w:cs="Arial"/>
                <w:bCs/>
              </w:rPr>
              <w:t> </w:t>
            </w:r>
            <w:r w:rsidRPr="00EC5662" w:rsidR="00547C99">
              <w:rPr>
                <w:rFonts w:eastAsia="MS Mincho" w:cs="Arial"/>
                <w:bCs/>
              </w:rPr>
              <w:t>snížení nákladů obcí v rámci obecního systému odpadového hospodářství, jeho přepravu a zpracování.</w:t>
            </w:r>
          </w:p>
          <w:p w:rsidR="00547C99" w:rsidRPr="00C04D5B" w:rsidP="00C502C0" w14:paraId="04994E23" w14:textId="1B7B82A0">
            <w:pPr>
              <w:tabs>
                <w:tab w:val="left" w:pos="1037"/>
              </w:tabs>
              <w:spacing w:before="60" w:after="60"/>
              <w:rPr>
                <w:rFonts w:eastAsia="MS Mincho" w:cs="Arial"/>
                <w:bCs/>
                <w:sz w:val="24"/>
              </w:rPr>
            </w:pPr>
            <w:r w:rsidRPr="00EC5662">
              <w:rPr>
                <w:rFonts w:eastAsia="MS Mincho" w:cs="Arial"/>
                <w:bCs/>
              </w:rPr>
              <w:t xml:space="preserve">Nepřímé dopady související se </w:t>
            </w:r>
            <w:r w:rsidRPr="00EC5662" w:rsidR="007D1AAD">
              <w:rPr>
                <w:rFonts w:eastAsia="MS Mincho" w:cs="Arial"/>
                <w:bCs/>
              </w:rPr>
              <w:t>s</w:t>
            </w:r>
            <w:r w:rsidRPr="00EC5662">
              <w:rPr>
                <w:rFonts w:eastAsia="MS Mincho" w:cs="Arial"/>
                <w:bCs/>
              </w:rPr>
              <w:t xml:space="preserve">nížením nákladů obcí na realizaci </w:t>
            </w:r>
            <w:r w:rsidRPr="00EC5662" w:rsidR="007D1AAD">
              <w:rPr>
                <w:rFonts w:eastAsia="MS Mincho" w:cs="Arial"/>
                <w:bCs/>
              </w:rPr>
              <w:t>informačních kampaní cílených na občany za účelem zlepšení povědomí o tom</w:t>
            </w:r>
            <w:r w:rsidRPr="00EC5662" w:rsidR="002B5477">
              <w:rPr>
                <w:rFonts w:eastAsia="MS Mincho" w:cs="Arial"/>
                <w:bCs/>
              </w:rPr>
              <w:t>,</w:t>
            </w:r>
            <w:r w:rsidRPr="00EC5662" w:rsidR="007D1AAD">
              <w:rPr>
                <w:rFonts w:eastAsia="MS Mincho" w:cs="Arial"/>
                <w:bCs/>
              </w:rPr>
              <w:t xml:space="preserve"> jak správně nakládat s odpady z jednorázových plastových </w:t>
            </w:r>
            <w:r w:rsidRPr="00EC5662" w:rsidR="00D4299C">
              <w:rPr>
                <w:rFonts w:eastAsia="MS Mincho" w:cs="Arial"/>
                <w:bCs/>
              </w:rPr>
              <w:t>obalů</w:t>
            </w:r>
            <w:r w:rsidRPr="00EC5662" w:rsidR="007D1AAD">
              <w:rPr>
                <w:rFonts w:eastAsia="MS Mincho" w:cs="Arial"/>
                <w:bCs/>
              </w:rPr>
              <w:t>.</w:t>
            </w:r>
            <w:bookmarkEnd w:id="5"/>
          </w:p>
        </w:tc>
      </w:tr>
      <w:tr w14:paraId="4F6541ED"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rsidR="00EF5D0B" w:rsidRPr="00C04D5B" w:rsidP="00C502C0" w14:paraId="1856A784" w14:textId="21C9C957">
            <w:pPr>
              <w:tabs>
                <w:tab w:val="left" w:pos="1037"/>
                <w:tab w:val="left" w:pos="3970"/>
                <w:tab w:val="left" w:pos="6286"/>
              </w:tabs>
              <w:spacing w:before="60" w:after="60"/>
              <w:rPr>
                <w:rFonts w:eastAsia="MS Mincho" w:cs="Arial"/>
                <w:bCs/>
                <w:sz w:val="24"/>
              </w:rPr>
            </w:pPr>
            <w:r w:rsidRPr="00C04D5B">
              <w:rPr>
                <w:rFonts w:eastAsia="MS Mincho" w:cs="Arial"/>
                <w:bCs/>
                <w:sz w:val="24"/>
              </w:rPr>
              <w:t>3.</w:t>
            </w:r>
            <w:r>
              <w:rPr>
                <w:rFonts w:eastAsia="MS Mincho" w:cs="Arial"/>
                <w:bCs/>
                <w:sz w:val="24"/>
              </w:rPr>
              <w:t>5</w:t>
            </w:r>
            <w:r w:rsidRPr="00C04D5B">
              <w:rPr>
                <w:rFonts w:eastAsia="MS Mincho" w:cs="Arial"/>
                <w:bCs/>
                <w:sz w:val="24"/>
              </w:rPr>
              <w:t xml:space="preserve"> Sociální dopady:</w:t>
            </w:r>
            <w:r w:rsidR="002B5477">
              <w:rPr>
                <w:rFonts w:eastAsia="MS Mincho" w:cs="Arial"/>
                <w:bCs/>
                <w:sz w:val="24"/>
              </w:rPr>
              <w:t xml:space="preserve"> </w:t>
            </w:r>
            <w:r w:rsidR="001E215E">
              <w:rPr>
                <w:rFonts w:eastAsia="MS Mincho" w:cs="Arial"/>
                <w:bCs/>
                <w:sz w:val="24"/>
              </w:rPr>
              <w:t>Ne</w:t>
            </w:r>
            <w:r w:rsidR="007D1AAD">
              <w:rPr>
                <w:rFonts w:eastAsia="MS Mincho" w:cs="Arial"/>
                <w:bCs/>
                <w:sz w:val="24"/>
              </w:rPr>
              <w:tab/>
            </w:r>
          </w:p>
        </w:tc>
      </w:tr>
      <w:tr w14:paraId="42A2BD1D"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rsidR="00EF5D0B" w:rsidRPr="00C04D5B" w:rsidP="00C502C0" w14:paraId="7A9F0C2B" w14:textId="4D450A0A">
            <w:pPr>
              <w:tabs>
                <w:tab w:val="left" w:pos="1037"/>
              </w:tabs>
              <w:spacing w:before="60" w:after="60"/>
              <w:rPr>
                <w:rFonts w:eastAsia="MS Mincho" w:cs="Arial"/>
                <w:bCs/>
                <w:sz w:val="24"/>
              </w:rPr>
            </w:pPr>
          </w:p>
        </w:tc>
      </w:tr>
      <w:tr w14:paraId="79B3B0EC"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rsidR="00EF5D0B" w:rsidRPr="00C04D5B" w:rsidP="00C502C0" w14:paraId="783DE629" w14:textId="5C3FE249">
            <w:pPr>
              <w:tabs>
                <w:tab w:val="left" w:pos="1037"/>
              </w:tabs>
              <w:spacing w:before="60" w:after="60"/>
              <w:rPr>
                <w:rFonts w:eastAsia="MS Mincho" w:cs="Arial"/>
                <w:bCs/>
                <w:sz w:val="24"/>
              </w:rPr>
            </w:pPr>
            <w:r>
              <w:rPr>
                <w:rFonts w:eastAsia="MS Mincho" w:cs="Arial"/>
                <w:bCs/>
                <w:sz w:val="24"/>
              </w:rPr>
              <w:t>3.6 Dopady na spotřebitele</w:t>
            </w:r>
            <w:r w:rsidRPr="00C04D5B">
              <w:rPr>
                <w:rFonts w:eastAsia="MS Mincho" w:cs="Arial"/>
                <w:bCs/>
                <w:sz w:val="24"/>
              </w:rPr>
              <w:t>:</w:t>
            </w:r>
            <w:r w:rsidR="001E215E">
              <w:rPr>
                <w:rFonts w:eastAsia="MS Mincho" w:cs="Arial"/>
                <w:bCs/>
                <w:sz w:val="24"/>
              </w:rPr>
              <w:t xml:space="preserve"> Ano</w:t>
            </w:r>
          </w:p>
        </w:tc>
      </w:tr>
      <w:tr w14:paraId="2DD8617E"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rsidR="001E215E" w:rsidRPr="00C04D5B" w:rsidP="00C502C0" w14:paraId="7D973BA7" w14:textId="254E5EC1">
            <w:pPr>
              <w:tabs>
                <w:tab w:val="left" w:pos="1037"/>
              </w:tabs>
              <w:spacing w:before="60" w:after="60"/>
              <w:rPr>
                <w:rFonts w:eastAsia="MS Mincho" w:cs="Arial"/>
                <w:bCs/>
                <w:sz w:val="24"/>
              </w:rPr>
            </w:pPr>
            <w:r w:rsidRPr="00F65D3E">
              <w:rPr>
                <w:rFonts w:eastAsia="MS Mincho" w:cs="Arial"/>
                <w:bCs/>
              </w:rPr>
              <w:t>Zajištění vyšší informovanosti a osvěty spotřebitelů ohledně správného nakládání s odpadem z </w:t>
            </w:r>
            <w:r w:rsidRPr="00F65D3E" w:rsidR="00EC5662">
              <w:rPr>
                <w:rFonts w:eastAsia="MS Mincho" w:cs="Arial"/>
                <w:bCs/>
              </w:rPr>
              <w:t>jednorázových</w:t>
            </w:r>
            <w:r w:rsidRPr="00F65D3E">
              <w:rPr>
                <w:rFonts w:eastAsia="MS Mincho" w:cs="Arial"/>
                <w:bCs/>
              </w:rPr>
              <w:t xml:space="preserve"> plastových </w:t>
            </w:r>
            <w:r w:rsidRPr="00F65D3E" w:rsidR="00D4299C">
              <w:rPr>
                <w:rFonts w:eastAsia="MS Mincho" w:cs="Arial"/>
                <w:bCs/>
              </w:rPr>
              <w:t>obalů</w:t>
            </w:r>
            <w:r w:rsidRPr="00F65D3E">
              <w:rPr>
                <w:rFonts w:eastAsia="MS Mincho" w:cs="Arial"/>
                <w:bCs/>
              </w:rPr>
              <w:t>.</w:t>
            </w:r>
          </w:p>
        </w:tc>
      </w:tr>
      <w:tr w14:paraId="45621993"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rsidR="00EF5D0B" w:rsidRPr="00C04D5B" w:rsidP="00C502C0" w14:paraId="6120E0EF" w14:textId="73D18563">
            <w:pPr>
              <w:tabs>
                <w:tab w:val="left" w:pos="1037"/>
              </w:tabs>
              <w:spacing w:before="60" w:after="60"/>
              <w:rPr>
                <w:rFonts w:eastAsia="MS Mincho" w:cs="Arial"/>
                <w:bCs/>
                <w:sz w:val="24"/>
              </w:rPr>
            </w:pPr>
            <w:r w:rsidRPr="00C04D5B">
              <w:rPr>
                <w:rFonts w:eastAsia="MS Mincho" w:cs="Arial"/>
                <w:bCs/>
                <w:sz w:val="24"/>
              </w:rPr>
              <w:t>3.</w:t>
            </w:r>
            <w:r>
              <w:rPr>
                <w:rFonts w:eastAsia="MS Mincho" w:cs="Arial"/>
                <w:bCs/>
                <w:sz w:val="24"/>
              </w:rPr>
              <w:t>7</w:t>
            </w:r>
            <w:r w:rsidRPr="00C04D5B">
              <w:rPr>
                <w:rFonts w:eastAsia="MS Mincho" w:cs="Arial"/>
                <w:bCs/>
                <w:sz w:val="24"/>
              </w:rPr>
              <w:t xml:space="preserve"> Dopady na životní prostředí:</w:t>
            </w:r>
            <w:r w:rsidR="001E215E">
              <w:rPr>
                <w:rFonts w:eastAsia="MS Mincho" w:cs="Arial"/>
                <w:bCs/>
                <w:sz w:val="24"/>
              </w:rPr>
              <w:t xml:space="preserve"> Ano</w:t>
            </w:r>
          </w:p>
        </w:tc>
      </w:tr>
      <w:tr w14:paraId="3140BE98"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rsidR="00064442" w:rsidRPr="002B5154" w:rsidP="00C502C0" w14:paraId="5F7BF3B1" w14:textId="05010D5E">
            <w:pPr>
              <w:tabs>
                <w:tab w:val="left" w:pos="1037"/>
              </w:tabs>
              <w:spacing w:before="60" w:after="60"/>
              <w:rPr>
                <w:rFonts w:eastAsia="MS Mincho" w:cs="Arial"/>
                <w:bCs/>
                <w:sz w:val="24"/>
                <w:szCs w:val="22"/>
              </w:rPr>
            </w:pPr>
            <w:bookmarkStart w:id="6" w:name="_Hlk117376780"/>
            <w:r w:rsidRPr="00F65D3E">
              <w:rPr>
                <w:rFonts w:eastAsia="MS Mincho" w:cs="Arial"/>
                <w:bCs/>
                <w:szCs w:val="22"/>
              </w:rPr>
              <w:t>Lze očekávat c</w:t>
            </w:r>
            <w:r w:rsidRPr="00F65D3E" w:rsidR="000E3E98">
              <w:rPr>
                <w:rFonts w:eastAsia="MS Mincho" w:cs="Arial"/>
                <w:bCs/>
                <w:szCs w:val="22"/>
              </w:rPr>
              <w:t xml:space="preserve">elkové snížení znečištění životního prostředí odpady z jednorázových plastových </w:t>
            </w:r>
            <w:r w:rsidRPr="00F65D3E" w:rsidR="00D4299C">
              <w:rPr>
                <w:rFonts w:eastAsia="MS Mincho" w:cs="Arial"/>
                <w:bCs/>
                <w:szCs w:val="22"/>
              </w:rPr>
              <w:t>obalů</w:t>
            </w:r>
            <w:r w:rsidRPr="00F65D3E" w:rsidR="000E3E98">
              <w:rPr>
                <w:rFonts w:eastAsia="MS Mincho" w:cs="Arial"/>
                <w:bCs/>
                <w:szCs w:val="22"/>
              </w:rPr>
              <w:t xml:space="preserve">, snížení celkového množství plastového odpadu a množství odhozených plastových odpadků v přírodě i v lidských sídlech, (tzv. </w:t>
            </w:r>
            <w:r w:rsidRPr="00F65D3E" w:rsidR="000E3E98">
              <w:rPr>
                <w:rFonts w:eastAsia="MS Mincho" w:cs="Arial"/>
                <w:bCs/>
                <w:szCs w:val="22"/>
              </w:rPr>
              <w:t>littering</w:t>
            </w:r>
            <w:r w:rsidRPr="00F65D3E" w:rsidR="000E3E98">
              <w:rPr>
                <w:rFonts w:eastAsia="MS Mincho" w:cs="Arial"/>
                <w:bCs/>
                <w:szCs w:val="22"/>
              </w:rPr>
              <w:t xml:space="preserve">). </w:t>
            </w:r>
            <w:r w:rsidRPr="00F65D3E">
              <w:rPr>
                <w:rFonts w:eastAsia="MS Mincho" w:cs="Arial"/>
                <w:bCs/>
                <w:szCs w:val="22"/>
              </w:rPr>
              <w:t>Vyšší informovanost spotřebitelů povede k</w:t>
            </w:r>
            <w:r w:rsidR="00F65D3E">
              <w:rPr>
                <w:rFonts w:eastAsia="MS Mincho" w:cs="Arial"/>
                <w:bCs/>
                <w:szCs w:val="22"/>
              </w:rPr>
              <w:t> </w:t>
            </w:r>
            <w:r w:rsidRPr="00F65D3E">
              <w:rPr>
                <w:rFonts w:eastAsia="MS Mincho" w:cs="Arial"/>
                <w:bCs/>
                <w:szCs w:val="22"/>
              </w:rPr>
              <w:t xml:space="preserve">hlubšímu pochopení negativních dopadů plastů na životní prostředí, což napomůže předcházení litteringu (mimo systém směsného komunálního odpadu) a dalším nevhodným způsobům jejich odstraňování. </w:t>
            </w:r>
            <w:r w:rsidRPr="00F65D3E" w:rsidR="000E3E98">
              <w:rPr>
                <w:rFonts w:eastAsia="MS Mincho" w:cs="Arial"/>
                <w:bCs/>
                <w:szCs w:val="22"/>
              </w:rPr>
              <w:t>Pozitivní dopady na</w:t>
            </w:r>
            <w:r w:rsidRPr="00F65D3E">
              <w:rPr>
                <w:rFonts w:eastAsia="MS Mincho" w:cs="Arial"/>
                <w:bCs/>
                <w:szCs w:val="22"/>
              </w:rPr>
              <w:t> </w:t>
            </w:r>
            <w:r w:rsidRPr="00F65D3E" w:rsidR="000E3E98">
              <w:rPr>
                <w:rFonts w:eastAsia="MS Mincho" w:cs="Arial"/>
                <w:bCs/>
                <w:szCs w:val="22"/>
              </w:rPr>
              <w:t xml:space="preserve">životní prostředí však generuje </w:t>
            </w:r>
            <w:r w:rsidRPr="00F65D3E" w:rsidR="00103860">
              <w:rPr>
                <w:rFonts w:eastAsia="MS Mincho" w:cs="Arial"/>
                <w:bCs/>
                <w:szCs w:val="22"/>
              </w:rPr>
              <w:t xml:space="preserve">především </w:t>
            </w:r>
            <w:r w:rsidRPr="00F65D3E" w:rsidR="000E3E98">
              <w:rPr>
                <w:rFonts w:eastAsia="MS Mincho" w:cs="Arial"/>
                <w:bCs/>
                <w:szCs w:val="22"/>
              </w:rPr>
              <w:t xml:space="preserve">zákon. Vyhláška již pouze upravuje </w:t>
            </w:r>
            <w:r w:rsidRPr="00F65D3E" w:rsidR="00103860">
              <w:rPr>
                <w:rFonts w:eastAsia="MS Mincho" w:cs="Arial"/>
                <w:bCs/>
                <w:szCs w:val="22"/>
              </w:rPr>
              <w:t xml:space="preserve">a blíže </w:t>
            </w:r>
            <w:r w:rsidRPr="00F65D3E" w:rsidR="000E3E98">
              <w:rPr>
                <w:rFonts w:eastAsia="MS Mincho" w:cs="Arial"/>
                <w:bCs/>
                <w:szCs w:val="22"/>
              </w:rPr>
              <w:t>specifi</w:t>
            </w:r>
            <w:r w:rsidRPr="00F65D3E" w:rsidR="00103860">
              <w:rPr>
                <w:rFonts w:eastAsia="MS Mincho" w:cs="Arial"/>
                <w:bCs/>
                <w:szCs w:val="22"/>
              </w:rPr>
              <w:t>kuje povinnosti stanovené zákonem, které budou mít pozitivní dopad na</w:t>
            </w:r>
            <w:r w:rsidRPr="00F65D3E">
              <w:rPr>
                <w:rFonts w:eastAsia="MS Mincho" w:cs="Arial"/>
                <w:bCs/>
                <w:szCs w:val="22"/>
              </w:rPr>
              <w:t> </w:t>
            </w:r>
            <w:r w:rsidRPr="00F65D3E" w:rsidR="00103860">
              <w:rPr>
                <w:rFonts w:eastAsia="MS Mincho" w:cs="Arial"/>
                <w:bCs/>
                <w:szCs w:val="22"/>
              </w:rPr>
              <w:t>životní prostředí.</w:t>
            </w:r>
            <w:bookmarkEnd w:id="6"/>
          </w:p>
        </w:tc>
      </w:tr>
      <w:tr w14:paraId="78F0D3EA"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rsidR="00EF5D0B" w:rsidRPr="00C04D5B" w:rsidP="00C502C0" w14:paraId="1BDC9946" w14:textId="438045A9">
            <w:pPr>
              <w:tabs>
                <w:tab w:val="left" w:pos="1037"/>
              </w:tabs>
              <w:spacing w:before="60" w:after="60"/>
              <w:rPr>
                <w:rFonts w:eastAsia="MS Mincho" w:cs="Arial"/>
                <w:bCs/>
                <w:sz w:val="24"/>
              </w:rPr>
            </w:pPr>
            <w:r>
              <w:rPr>
                <w:rFonts w:eastAsia="MS Mincho" w:cs="Arial"/>
                <w:bCs/>
                <w:sz w:val="24"/>
              </w:rPr>
              <w:t>3.8 Dopady ve vztahu k zákazu diskriminace a ve vztahu k rovnosti žen a mužů</w:t>
            </w:r>
            <w:r w:rsidRPr="00C04D5B">
              <w:rPr>
                <w:rFonts w:eastAsia="MS Mincho" w:cs="Arial"/>
                <w:bCs/>
                <w:sz w:val="24"/>
              </w:rPr>
              <w:t xml:space="preserve">: </w:t>
            </w:r>
            <w:r w:rsidR="00374B15">
              <w:rPr>
                <w:rFonts w:eastAsia="MS Mincho" w:cs="Arial"/>
                <w:bCs/>
                <w:sz w:val="24"/>
              </w:rPr>
              <w:t>Ne</w:t>
            </w:r>
          </w:p>
        </w:tc>
      </w:tr>
      <w:tr w14:paraId="4A8391A9"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rsidR="00EF5D0B" w:rsidRPr="00C04D5B" w:rsidP="00C502C0" w14:paraId="49FEAEC5" w14:textId="2BD5D5C3">
            <w:pPr>
              <w:tabs>
                <w:tab w:val="left" w:pos="1037"/>
              </w:tabs>
              <w:spacing w:before="60" w:after="60"/>
              <w:rPr>
                <w:rFonts w:eastAsia="MS Mincho" w:cs="Arial"/>
                <w:bCs/>
                <w:sz w:val="24"/>
              </w:rPr>
            </w:pPr>
          </w:p>
        </w:tc>
      </w:tr>
      <w:tr w14:paraId="7349F4FE"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rsidR="00EF5D0B" w:rsidRPr="00C04D5B" w:rsidP="00C502C0" w14:paraId="3477CEEC" w14:textId="1C4F6134">
            <w:pPr>
              <w:tabs>
                <w:tab w:val="left" w:pos="1037"/>
              </w:tabs>
              <w:spacing w:before="60" w:after="60"/>
              <w:rPr>
                <w:rFonts w:eastAsia="MS Mincho" w:cs="Arial"/>
                <w:bCs/>
                <w:sz w:val="24"/>
              </w:rPr>
            </w:pPr>
            <w:r>
              <w:rPr>
                <w:rFonts w:eastAsia="MS Mincho" w:cs="Arial"/>
                <w:bCs/>
                <w:sz w:val="24"/>
              </w:rPr>
              <w:t>3.9 Dopady na výkon státní statistické služby</w:t>
            </w:r>
            <w:r w:rsidRPr="00C04D5B">
              <w:rPr>
                <w:rFonts w:eastAsia="MS Mincho" w:cs="Arial"/>
                <w:bCs/>
                <w:sz w:val="24"/>
              </w:rPr>
              <w:t xml:space="preserve">: </w:t>
            </w:r>
            <w:r w:rsidR="00064442">
              <w:rPr>
                <w:rFonts w:eastAsia="MS Mincho" w:cs="Arial"/>
                <w:bCs/>
                <w:sz w:val="24"/>
              </w:rPr>
              <w:t>Ano</w:t>
            </w:r>
          </w:p>
        </w:tc>
      </w:tr>
      <w:tr w14:paraId="3C74104E"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rsidR="00F65D3E" w:rsidRPr="00F65D3E" w:rsidP="00C502C0" w14:paraId="7748BC7D" w14:textId="5A12B49D">
            <w:pPr>
              <w:spacing w:before="60" w:after="60"/>
              <w:rPr>
                <w:rFonts w:eastAsia="MS Mincho" w:cs="Arial"/>
                <w:bCs/>
                <w:szCs w:val="22"/>
              </w:rPr>
            </w:pPr>
            <w:r w:rsidRPr="00F65D3E">
              <w:rPr>
                <w:rFonts w:eastAsia="MS Mincho" w:cs="Arial"/>
                <w:bCs/>
                <w:szCs w:val="22"/>
              </w:rPr>
              <w:t xml:space="preserve">Pozitivní dopad z důvodu ohlašování evidenčních povinností výrobců jednorázových plastových </w:t>
            </w:r>
            <w:r w:rsidRPr="00F65D3E" w:rsidR="00D4299C">
              <w:rPr>
                <w:rFonts w:eastAsia="MS Mincho" w:cs="Arial"/>
                <w:bCs/>
                <w:szCs w:val="22"/>
              </w:rPr>
              <w:t xml:space="preserve">obalů </w:t>
            </w:r>
            <w:r w:rsidRPr="00F65D3E">
              <w:rPr>
                <w:rFonts w:eastAsia="MS Mincho" w:cs="Arial"/>
                <w:bCs/>
                <w:szCs w:val="22"/>
              </w:rPr>
              <w:t xml:space="preserve">a </w:t>
            </w:r>
            <w:r w:rsidRPr="00F65D3E">
              <w:rPr>
                <w:rFonts w:eastAsia="MS Mincho" w:cs="Arial"/>
                <w:bCs/>
                <w:szCs w:val="22"/>
              </w:rPr>
              <w:t>AOS</w:t>
            </w:r>
            <w:r w:rsidRPr="00F65D3E">
              <w:rPr>
                <w:rFonts w:eastAsia="MS Mincho" w:cs="Arial"/>
                <w:bCs/>
                <w:szCs w:val="22"/>
              </w:rPr>
              <w:t xml:space="preserve"> prostřednictvím ISPOP (množství </w:t>
            </w:r>
            <w:r w:rsidRPr="003C26CD">
              <w:t xml:space="preserve">vybraných </w:t>
            </w:r>
            <w:r>
              <w:t xml:space="preserve">jednorázových </w:t>
            </w:r>
            <w:r w:rsidRPr="003C26CD">
              <w:t>plastových výrobků</w:t>
            </w:r>
            <w:r>
              <w:t xml:space="preserve"> </w:t>
            </w:r>
            <w:r>
              <w:t>(nápojových kelímků a obalů na potraviny)</w:t>
            </w:r>
            <w:r w:rsidRPr="003C26CD">
              <w:t>, které výrobce uvedl na</w:t>
            </w:r>
            <w:r>
              <w:t xml:space="preserve"> trh, a dále množství </w:t>
            </w:r>
            <w:r w:rsidRPr="006C7CD5">
              <w:t>recyklovaných plastů použitých osobami uvádějícími na trh nebo do oběhu jednorázové plastové obaly</w:t>
            </w:r>
            <w:r>
              <w:t xml:space="preserve">) </w:t>
            </w:r>
            <w:r w:rsidRPr="00F65D3E">
              <w:rPr>
                <w:rFonts w:eastAsia="MS Mincho" w:cs="Arial"/>
                <w:bCs/>
                <w:szCs w:val="22"/>
              </w:rPr>
              <w:t>a integrace do </w:t>
            </w:r>
            <w:bookmarkStart w:id="7" w:name="_Hlk117415372"/>
            <w:r w:rsidRPr="00F65D3E">
              <w:rPr>
                <w:rFonts w:eastAsia="MS Mincho" w:cs="Arial"/>
                <w:bCs/>
                <w:szCs w:val="22"/>
              </w:rPr>
              <w:t>nového informačního systému ISOH2</w:t>
            </w:r>
            <w:bookmarkEnd w:id="7"/>
            <w:r w:rsidRPr="00F65D3E">
              <w:rPr>
                <w:rFonts w:eastAsia="MS Mincho" w:cs="Arial"/>
                <w:bCs/>
                <w:szCs w:val="22"/>
              </w:rPr>
              <w:t xml:space="preserve">, odkud mohou být tato data </w:t>
            </w:r>
            <w:bookmarkStart w:id="8" w:name="_Hlk117414603"/>
            <w:r w:rsidRPr="00F65D3E">
              <w:rPr>
                <w:rFonts w:eastAsia="MS Mincho" w:cs="Arial"/>
                <w:bCs/>
                <w:szCs w:val="22"/>
              </w:rPr>
              <w:t>potencionálně využitelná pro potřeby státní statistické služby</w:t>
            </w:r>
            <w:bookmarkEnd w:id="8"/>
            <w:r w:rsidRPr="00F65D3E">
              <w:rPr>
                <w:rFonts w:eastAsia="MS Mincho" w:cs="Arial"/>
                <w:bCs/>
                <w:szCs w:val="22"/>
              </w:rPr>
              <w:t>.</w:t>
            </w:r>
          </w:p>
        </w:tc>
      </w:tr>
      <w:tr w14:paraId="2D9B4B55"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rsidR="00EF5D0B" w:rsidRPr="00C04D5B" w:rsidP="00C502C0" w14:paraId="4BA254C8" w14:textId="4A87126E">
            <w:pPr>
              <w:tabs>
                <w:tab w:val="left" w:pos="1037"/>
              </w:tabs>
              <w:spacing w:before="60" w:after="60"/>
              <w:rPr>
                <w:rFonts w:eastAsia="MS Mincho" w:cs="Arial"/>
                <w:bCs/>
                <w:sz w:val="24"/>
              </w:rPr>
            </w:pPr>
            <w:r>
              <w:rPr>
                <w:rFonts w:eastAsia="MS Mincho" w:cs="Arial"/>
                <w:bCs/>
                <w:sz w:val="24"/>
              </w:rPr>
              <w:t>3.10 Korupční rizika</w:t>
            </w:r>
            <w:r w:rsidRPr="00C04D5B">
              <w:rPr>
                <w:rFonts w:eastAsia="MS Mincho" w:cs="Arial"/>
                <w:bCs/>
                <w:sz w:val="24"/>
              </w:rPr>
              <w:t xml:space="preserve">: </w:t>
            </w:r>
            <w:r w:rsidR="00C95983">
              <w:rPr>
                <w:rFonts w:eastAsia="MS Mincho" w:cs="Arial"/>
                <w:bCs/>
                <w:sz w:val="24"/>
              </w:rPr>
              <w:t>Ne</w:t>
            </w:r>
          </w:p>
        </w:tc>
      </w:tr>
      <w:tr w14:paraId="286C97E2" w14:textId="77777777" w:rsidTr="00072995">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rsidR="00EF5D0B" w:rsidRPr="00C04D5B" w:rsidP="00C502C0" w14:paraId="39A5CB14" w14:textId="62850698">
            <w:pPr>
              <w:tabs>
                <w:tab w:val="left" w:pos="1037"/>
              </w:tabs>
              <w:spacing w:before="60" w:after="60"/>
              <w:rPr>
                <w:rFonts w:eastAsia="MS Mincho" w:cs="Arial"/>
                <w:bCs/>
                <w:sz w:val="24"/>
              </w:rPr>
            </w:pPr>
          </w:p>
        </w:tc>
      </w:tr>
      <w:tr w14:paraId="77B5AB66" w14:textId="77777777" w:rsidTr="00064442">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4" w:space="0" w:color="auto"/>
              <w:right w:val="single" w:sz="12" w:space="0" w:color="auto"/>
            </w:tcBorders>
            <w:shd w:val="clear" w:color="auto" w:fill="99CCFF"/>
          </w:tcPr>
          <w:p w:rsidR="00EF5D0B" w:rsidRPr="00C04D5B" w:rsidP="00C502C0" w14:paraId="690B75DE" w14:textId="3BC3C774">
            <w:pPr>
              <w:tabs>
                <w:tab w:val="left" w:pos="1037"/>
              </w:tabs>
              <w:spacing w:before="60" w:after="60"/>
              <w:rPr>
                <w:rFonts w:eastAsia="MS Mincho" w:cs="Arial"/>
                <w:bCs/>
                <w:sz w:val="24"/>
              </w:rPr>
            </w:pPr>
            <w:r>
              <w:rPr>
                <w:rFonts w:eastAsia="MS Mincho" w:cs="Arial"/>
                <w:bCs/>
                <w:sz w:val="24"/>
              </w:rPr>
              <w:t>3.11 Dopady na bezpečnost nebo obranu státu</w:t>
            </w:r>
            <w:r w:rsidRPr="00C04D5B">
              <w:rPr>
                <w:rFonts w:eastAsia="MS Mincho" w:cs="Arial"/>
                <w:bCs/>
                <w:sz w:val="24"/>
              </w:rPr>
              <w:t xml:space="preserve">: </w:t>
            </w:r>
            <w:r w:rsidR="00374B15">
              <w:rPr>
                <w:rFonts w:eastAsia="MS Mincho" w:cs="Arial"/>
                <w:bCs/>
                <w:sz w:val="24"/>
              </w:rPr>
              <w:t>Ne</w:t>
            </w:r>
          </w:p>
        </w:tc>
      </w:tr>
      <w:tr w14:paraId="43562D1B" w14:textId="77777777" w:rsidTr="00064442">
        <w:tblPrEx>
          <w:tblW w:w="9648" w:type="dxa"/>
          <w:tblBorders>
            <w:top w:val="single" w:sz="4" w:space="0" w:color="auto"/>
            <w:left w:val="single" w:sz="4" w:space="0" w:color="auto"/>
            <w:bottom w:val="single" w:sz="4" w:space="0" w:color="auto"/>
            <w:right w:val="single" w:sz="4" w:space="0" w:color="auto"/>
          </w:tblBorders>
          <w:tblLayout w:type="fixed"/>
          <w:tblLook w:val="00A0"/>
        </w:tblPrEx>
        <w:tc>
          <w:tcPr>
            <w:tcW w:w="9648" w:type="dxa"/>
            <w:gridSpan w:val="2"/>
            <w:tcBorders>
              <w:top w:val="single" w:sz="4" w:space="0" w:color="auto"/>
              <w:left w:val="single" w:sz="12" w:space="0" w:color="auto"/>
              <w:bottom w:val="single" w:sz="12" w:space="0" w:color="auto"/>
              <w:right w:val="single" w:sz="12" w:space="0" w:color="auto"/>
            </w:tcBorders>
            <w:shd w:val="clear" w:color="auto" w:fill="FFFFFF" w:themeFill="background1"/>
          </w:tcPr>
          <w:p w:rsidR="00064442" w:rsidP="00C502C0" w14:paraId="743228DA" w14:textId="77777777">
            <w:pPr>
              <w:tabs>
                <w:tab w:val="left" w:pos="1037"/>
              </w:tabs>
              <w:spacing w:before="60" w:after="60"/>
              <w:rPr>
                <w:rFonts w:eastAsia="MS Mincho" w:cs="Arial"/>
                <w:bCs/>
                <w:sz w:val="24"/>
              </w:rPr>
            </w:pPr>
          </w:p>
        </w:tc>
      </w:tr>
    </w:tbl>
    <w:p w:rsidR="00064442" w:rsidP="00064442" w14:paraId="332A948D" w14:textId="28BFCAF8"/>
    <w:p w:rsidR="00F26C2D" w14:paraId="2B7715FA" w14:textId="77777777">
      <w:pPr>
        <w:spacing w:before="0" w:line="240" w:lineRule="auto"/>
        <w:jc w:val="left"/>
      </w:pPr>
      <w:r>
        <w:br w:type="page"/>
      </w:r>
    </w:p>
    <w:p w:rsidR="004634F2" w:rsidRPr="002725B0" w:rsidP="002725B0" w14:paraId="30664621" w14:textId="2C50CF39">
      <w:pPr>
        <w:pStyle w:val="Heading1"/>
      </w:pPr>
      <w:bookmarkStart w:id="9" w:name="_Toc109829308"/>
      <w:r>
        <w:t>Důvod předložení a cíle</w:t>
      </w:r>
      <w:bookmarkEnd w:id="9"/>
    </w:p>
    <w:p w:rsidR="004634F2" w:rsidP="00CD0D79" w14:paraId="5E9D3B40" w14:textId="77777777">
      <w:pPr>
        <w:pStyle w:val="Heading2"/>
      </w:pPr>
      <w:bookmarkStart w:id="10" w:name="_Toc109829309"/>
      <w:r>
        <w:t>Název</w:t>
      </w:r>
      <w:bookmarkEnd w:id="10"/>
    </w:p>
    <w:p w:rsidR="000B0C48" w:rsidRPr="00546E8A" w:rsidP="0072599B" w14:paraId="348ECC22" w14:textId="4D521E7D">
      <w:r w:rsidRPr="000B0C48">
        <w:t xml:space="preserve">Vyhláška o provedení některých ustanovení zákona o </w:t>
      </w:r>
      <w:r w:rsidR="00D4299C">
        <w:t xml:space="preserve">obalech </w:t>
      </w:r>
    </w:p>
    <w:p w:rsidR="00536A65" w:rsidRPr="00536A65" w:rsidP="00536A65" w14:paraId="2B5E5440" w14:textId="77777777">
      <w:pPr>
        <w:pStyle w:val="Heading2"/>
      </w:pPr>
      <w:bookmarkStart w:id="11" w:name="_Toc109829310"/>
      <w:r w:rsidRPr="00546E8A">
        <w:t>Definice problému</w:t>
      </w:r>
      <w:bookmarkEnd w:id="11"/>
    </w:p>
    <w:p w:rsidR="00C246BA" w:rsidP="002A7AE1" w14:paraId="23052CD3" w14:textId="1316F67F">
      <w:r>
        <w:t xml:space="preserve">Důvodem </w:t>
      </w:r>
      <w:r w:rsidR="00042AB3">
        <w:t xml:space="preserve">vzniku </w:t>
      </w:r>
      <w:r>
        <w:t xml:space="preserve">nové vyhlášky je </w:t>
      </w:r>
      <w:r w:rsidR="001C40DD">
        <w:t xml:space="preserve">potřeba </w:t>
      </w:r>
      <w:r>
        <w:t>stanov</w:t>
      </w:r>
      <w:r w:rsidR="00042AB3">
        <w:t>ení</w:t>
      </w:r>
      <w:r>
        <w:t xml:space="preserve"> podrobnost</w:t>
      </w:r>
      <w:r w:rsidR="00042AB3">
        <w:t>í</w:t>
      </w:r>
      <w:r>
        <w:t xml:space="preserve"> některých ustanovení zákona o </w:t>
      </w:r>
      <w:r w:rsidR="00D4299C">
        <w:t>obalech</w:t>
      </w:r>
      <w:r>
        <w:t xml:space="preserve">, přičemž </w:t>
      </w:r>
      <w:r w:rsidR="00D40EC0">
        <w:t xml:space="preserve">vyhláška </w:t>
      </w:r>
      <w:r>
        <w:t xml:space="preserve">bude obsahově implementovat </w:t>
      </w:r>
      <w:r w:rsidR="002E6850">
        <w:t xml:space="preserve">bližší </w:t>
      </w:r>
      <w:r w:rsidR="00EF124F">
        <w:t xml:space="preserve">požadavky směrnice </w:t>
      </w:r>
      <w:r>
        <w:t xml:space="preserve">Evropského parlamentu a Rady (EU) 2019/904 ze dne 5. června 2019 o omezení dopadu některých plastových výrobků na životní prostředí (dále jen „směrnice </w:t>
      </w:r>
      <w:r w:rsidR="00B8580A">
        <w:t>o jednorázových plastech</w:t>
      </w:r>
      <w:r>
        <w:t>“).</w:t>
      </w:r>
      <w:r w:rsidR="00505634">
        <w:t xml:space="preserve"> V současnosti </w:t>
      </w:r>
      <w:r w:rsidR="00B8580A">
        <w:t xml:space="preserve">je pro </w:t>
      </w:r>
      <w:r w:rsidR="00505634">
        <w:t>ob</w:t>
      </w:r>
      <w:r w:rsidR="00744AF6">
        <w:t>la</w:t>
      </w:r>
      <w:r w:rsidR="00505634">
        <w:t xml:space="preserve">st </w:t>
      </w:r>
      <w:r w:rsidR="000846B8">
        <w:t xml:space="preserve">jednorázových </w:t>
      </w:r>
      <w:r w:rsidR="00505634">
        <w:t xml:space="preserve">plastových výrobků identifikováno několik problémů, které by měla tato vyhláška řešit. </w:t>
      </w:r>
    </w:p>
    <w:p w:rsidR="006C48B0" w:rsidP="002B5154" w14:paraId="280BA9CC" w14:textId="011080EC">
      <w:r>
        <w:t xml:space="preserve">Na základě požadavku směrnice </w:t>
      </w:r>
      <w:r w:rsidR="00B8580A">
        <w:t>o jednorázových plastech</w:t>
      </w:r>
      <w:r w:rsidR="00C246BA">
        <w:t xml:space="preserve">, kdy členské státy musejí přijmout osvětová opatření, která zajistí, aby byly spotřebitelům a uživatelům </w:t>
      </w:r>
      <w:r w:rsidR="001C40DD">
        <w:t xml:space="preserve">vybraných jednorázových plastových </w:t>
      </w:r>
      <w:r w:rsidR="00985E43">
        <w:t xml:space="preserve">obalů a obalových prostředků </w:t>
      </w:r>
      <w:r w:rsidR="00C246BA">
        <w:t xml:space="preserve">poskytovány informace o předcházení odhazování odpadků </w:t>
      </w:r>
      <w:r w:rsidR="001C40DD">
        <w:t xml:space="preserve">z těchto výrobků </w:t>
      </w:r>
      <w:r w:rsidR="00C246BA">
        <w:t xml:space="preserve">mimo místa </w:t>
      </w:r>
      <w:r w:rsidR="001C40DD">
        <w:t xml:space="preserve">k tomu </w:t>
      </w:r>
      <w:r w:rsidR="00C246BA">
        <w:t xml:space="preserve">určená a </w:t>
      </w:r>
      <w:r w:rsidR="000846B8">
        <w:t>dalších</w:t>
      </w:r>
      <w:r w:rsidR="00C246BA">
        <w:t xml:space="preserve"> nevhodných způsobech</w:t>
      </w:r>
      <w:r w:rsidR="000846B8">
        <w:t xml:space="preserve"> jejich</w:t>
      </w:r>
      <w:r w:rsidR="00C246BA">
        <w:t xml:space="preserve"> odstraňování</w:t>
      </w:r>
      <w:r w:rsidR="000846B8">
        <w:t xml:space="preserve">, </w:t>
      </w:r>
      <w:r w:rsidR="00C379D3">
        <w:t xml:space="preserve">by tato vyhláška měla </w:t>
      </w:r>
      <w:r>
        <w:t xml:space="preserve">zajistit </w:t>
      </w:r>
      <w:r w:rsidR="00C379D3">
        <w:t xml:space="preserve">a stanovit bližší pravidla pro provádění </w:t>
      </w:r>
      <w:r>
        <w:t>osvětov</w:t>
      </w:r>
      <w:r w:rsidR="00C379D3">
        <w:t>ých</w:t>
      </w:r>
      <w:r>
        <w:t xml:space="preserve"> kampan</w:t>
      </w:r>
      <w:r w:rsidR="00C379D3">
        <w:t xml:space="preserve">í. </w:t>
      </w:r>
      <w:r w:rsidR="00C246BA">
        <w:t xml:space="preserve">Cílem těchto osvětových </w:t>
      </w:r>
      <w:r w:rsidR="000846B8">
        <w:t>opatření</w:t>
      </w:r>
      <w:r w:rsidR="00C246BA">
        <w:t xml:space="preserve"> by mělo být zejména řádné informování spotřebitelů </w:t>
      </w:r>
      <w:r w:rsidR="000846B8">
        <w:t xml:space="preserve">vybraných jednorázových plastových </w:t>
      </w:r>
      <w:r w:rsidR="00D4299C">
        <w:t xml:space="preserve">obalů a obalových prostředků </w:t>
      </w:r>
      <w:r w:rsidR="00C246BA">
        <w:t xml:space="preserve">o dostupnosti opětovně použitelných alternativ, </w:t>
      </w:r>
      <w:r w:rsidR="00E37EDA">
        <w:t xml:space="preserve">dále </w:t>
      </w:r>
      <w:r w:rsidR="00C246BA">
        <w:t>o</w:t>
      </w:r>
      <w:r w:rsidR="00F44DEF">
        <w:t> </w:t>
      </w:r>
      <w:r w:rsidR="00C246BA">
        <w:t xml:space="preserve">systémech </w:t>
      </w:r>
      <w:r w:rsidR="000846B8">
        <w:t xml:space="preserve">jejich </w:t>
      </w:r>
      <w:r w:rsidR="00C246BA">
        <w:t>opětovného použití</w:t>
      </w:r>
      <w:r w:rsidR="000846B8">
        <w:t>,</w:t>
      </w:r>
      <w:r w:rsidR="00C246BA">
        <w:t xml:space="preserve"> o</w:t>
      </w:r>
      <w:r w:rsidR="00463F2A">
        <w:t> </w:t>
      </w:r>
      <w:r w:rsidR="00C246BA">
        <w:t xml:space="preserve">nejvhodnějších dostupných způsobech nakládání s odpady </w:t>
      </w:r>
      <w:r w:rsidR="000846B8">
        <w:t xml:space="preserve">z těchto </w:t>
      </w:r>
      <w:r w:rsidR="00463F2A">
        <w:t xml:space="preserve">plastových obalů </w:t>
      </w:r>
      <w:r w:rsidR="000846B8">
        <w:t>a</w:t>
      </w:r>
      <w:r w:rsidR="00463F2A">
        <w:t> </w:t>
      </w:r>
      <w:r w:rsidR="000846B8">
        <w:t>o</w:t>
      </w:r>
      <w:r w:rsidR="00463F2A">
        <w:t> </w:t>
      </w:r>
      <w:r w:rsidR="000846B8">
        <w:t xml:space="preserve">vhodných </w:t>
      </w:r>
      <w:r w:rsidR="00C246BA">
        <w:t xml:space="preserve">způsobech </w:t>
      </w:r>
      <w:r w:rsidR="000846B8">
        <w:t xml:space="preserve">jejich odstraňování. </w:t>
      </w:r>
      <w:r w:rsidR="00E37EDA">
        <w:t xml:space="preserve">V neposlední řadě </w:t>
      </w:r>
      <w:r w:rsidR="000846B8">
        <w:t xml:space="preserve">by osvětové kampaně měly informovat </w:t>
      </w:r>
      <w:r w:rsidR="00042AB3">
        <w:t xml:space="preserve">spotřebitele </w:t>
      </w:r>
      <w:r w:rsidR="000846B8">
        <w:t xml:space="preserve">o </w:t>
      </w:r>
      <w:r w:rsidR="00C246BA">
        <w:t>d</w:t>
      </w:r>
      <w:r w:rsidR="000846B8">
        <w:t>opadech</w:t>
      </w:r>
      <w:r w:rsidR="00C246BA">
        <w:t xml:space="preserve"> </w:t>
      </w:r>
      <w:r w:rsidR="00DE106F">
        <w:t>nevhodných způso</w:t>
      </w:r>
      <w:r w:rsidR="000846B8">
        <w:t>bů</w:t>
      </w:r>
      <w:r w:rsidR="00DE106F">
        <w:t xml:space="preserve"> odstraňování </w:t>
      </w:r>
      <w:r w:rsidR="000846B8">
        <w:t xml:space="preserve">plastových </w:t>
      </w:r>
      <w:r w:rsidR="00DE106F">
        <w:t>odpadů na</w:t>
      </w:r>
      <w:r w:rsidR="00463F2A">
        <w:t> </w:t>
      </w:r>
      <w:r w:rsidR="00DE106F">
        <w:t>životní prostředí. Poskytnuté informace by n</w:t>
      </w:r>
      <w:r w:rsidR="001934FD">
        <w:t>e</w:t>
      </w:r>
      <w:r w:rsidR="00DE106F">
        <w:t>měly současně obsahovat reklamní obsah podněcující spotřebitele k používání plastových výrobků na jedno použití. Veškeré náklady na</w:t>
      </w:r>
      <w:r w:rsidR="002B5154">
        <w:t> </w:t>
      </w:r>
      <w:r w:rsidR="00DE106F">
        <w:t xml:space="preserve">realizovaná osvětová opatření by měly hradit výrobci vybraných jednorázových plastových </w:t>
      </w:r>
      <w:r w:rsidR="00463F2A">
        <w:t xml:space="preserve">obalů </w:t>
      </w:r>
      <w:r w:rsidR="00DE106F">
        <w:t>v rámci své povinnosti rozšířené odpovědnosti výrobce, přičemž v praxi by měl</w:t>
      </w:r>
      <w:r w:rsidR="006064A6">
        <w:t>y</w:t>
      </w:r>
      <w:r w:rsidR="00DE106F">
        <w:t xml:space="preserve"> být tyto povinnosti plněny výrobci skrze </w:t>
      </w:r>
      <w:r w:rsidR="00D4299C">
        <w:t>autorizované obalové společnosti nebo individuálně</w:t>
      </w:r>
      <w:r w:rsidR="00DE106F">
        <w:t>.</w:t>
      </w:r>
    </w:p>
    <w:p w:rsidR="009E31CD" w:rsidP="009E31CD" w14:paraId="3AD55CF7" w14:textId="3E571BCF">
      <w:pPr>
        <w:rPr>
          <w:rFonts w:cs="Arial"/>
          <w:szCs w:val="22"/>
        </w:rPr>
      </w:pPr>
      <w:r>
        <w:t xml:space="preserve">Dále </w:t>
      </w:r>
      <w:r w:rsidR="00042AB3">
        <w:t xml:space="preserve">bude </w:t>
      </w:r>
      <w:r w:rsidR="00A23A85">
        <w:t>vyhláška</w:t>
      </w:r>
      <w:r w:rsidR="00552ECD">
        <w:t xml:space="preserve"> pro </w:t>
      </w:r>
      <w:r w:rsidR="00E37EDA">
        <w:t xml:space="preserve">výrobce </w:t>
      </w:r>
      <w:r w:rsidR="0036793D">
        <w:t>vybran</w:t>
      </w:r>
      <w:r w:rsidR="00E37EDA">
        <w:t>ých</w:t>
      </w:r>
      <w:r w:rsidR="0036793D">
        <w:t xml:space="preserve"> </w:t>
      </w:r>
      <w:r w:rsidR="00552ECD">
        <w:t>plastov</w:t>
      </w:r>
      <w:r w:rsidR="00E37EDA">
        <w:t>ých</w:t>
      </w:r>
      <w:r w:rsidR="00552ECD">
        <w:t xml:space="preserve"> </w:t>
      </w:r>
      <w:r w:rsidR="00D4299C">
        <w:t xml:space="preserve">obalů a obalových prostředků </w:t>
      </w:r>
      <w:r w:rsidR="00552ECD">
        <w:t>na jedno použití</w:t>
      </w:r>
      <w:r w:rsidR="00A23A85">
        <w:t xml:space="preserve"> </w:t>
      </w:r>
      <w:r w:rsidR="00042AB3">
        <w:t xml:space="preserve">stanovovat </w:t>
      </w:r>
      <w:r w:rsidR="00A23A85">
        <w:t>evidenční povinnosti</w:t>
      </w:r>
      <w:r>
        <w:t xml:space="preserve"> a způsob výpočtu </w:t>
      </w:r>
      <w:r w:rsidRPr="0043654B" w:rsidR="0043654B">
        <w:t>úrovně zpětného odběru odpadu z</w:t>
      </w:r>
      <w:r w:rsidR="0043654B">
        <w:t> </w:t>
      </w:r>
      <w:r w:rsidRPr="0043654B" w:rsidR="0043654B">
        <w:t>jednorázových plastových nápojov</w:t>
      </w:r>
      <w:r w:rsidR="0043654B">
        <w:t>ých</w:t>
      </w:r>
      <w:r w:rsidRPr="0043654B" w:rsidR="0043654B">
        <w:t xml:space="preserve"> lahv</w:t>
      </w:r>
      <w:r w:rsidR="0043654B">
        <w:t>í</w:t>
      </w:r>
      <w:r w:rsidR="00552ECD">
        <w:t xml:space="preserve">. </w:t>
      </w:r>
      <w:r>
        <w:t xml:space="preserve">Jde o implementaci </w:t>
      </w:r>
      <w:r>
        <w:rPr>
          <w:rFonts w:cs="Arial"/>
          <w:szCs w:val="22"/>
        </w:rPr>
        <w:t>p</w:t>
      </w:r>
      <w:r w:rsidRPr="003F2750">
        <w:rPr>
          <w:rFonts w:cs="Arial"/>
          <w:szCs w:val="22"/>
        </w:rPr>
        <w:t>rováděcí</w:t>
      </w:r>
      <w:r>
        <w:rPr>
          <w:rFonts w:cs="Arial"/>
          <w:szCs w:val="22"/>
        </w:rPr>
        <w:t>ho</w:t>
      </w:r>
      <w:r w:rsidRPr="003F2750">
        <w:rPr>
          <w:rFonts w:cs="Arial"/>
          <w:szCs w:val="22"/>
        </w:rPr>
        <w:t xml:space="preserve"> rozhodnutí Komise (EU) 2021/1752 ze dne 1. října 2021, kterým se stanoví prováděcí pravidla ke směrnici Evropského parlamentu a Rady (EU) 2019/904, pokud jde o výpočet, ověřování a vykazování údajů o tříděném sběru odpadu z plastových nápojových lahví na jedno použití</w:t>
      </w:r>
      <w:r>
        <w:rPr>
          <w:rFonts w:cs="Arial"/>
          <w:szCs w:val="22"/>
        </w:rPr>
        <w:t xml:space="preserve"> a p</w:t>
      </w:r>
      <w:r w:rsidRPr="003F2750">
        <w:rPr>
          <w:rFonts w:cs="Arial"/>
          <w:szCs w:val="22"/>
        </w:rPr>
        <w:t>rováděcí</w:t>
      </w:r>
      <w:r>
        <w:rPr>
          <w:rFonts w:cs="Arial"/>
          <w:szCs w:val="22"/>
        </w:rPr>
        <w:t>ho</w:t>
      </w:r>
      <w:r w:rsidRPr="003F2750">
        <w:rPr>
          <w:rFonts w:cs="Arial"/>
          <w:szCs w:val="22"/>
        </w:rPr>
        <w:t xml:space="preserve"> rozhodnutí Komise (EU) 2022/162 ze dne 4. února 2022, kterým se stanoví prováděcí pravidla ke směrnici Evropského parlamentu a Rady (EU) 2019/904, pokud jde o výpočet, ověřování a</w:t>
      </w:r>
      <w:r>
        <w:rPr>
          <w:rFonts w:cs="Arial"/>
          <w:szCs w:val="22"/>
        </w:rPr>
        <w:t> </w:t>
      </w:r>
      <w:r w:rsidRPr="003F2750">
        <w:rPr>
          <w:rFonts w:cs="Arial"/>
          <w:szCs w:val="22"/>
        </w:rPr>
        <w:t>vykazování údajů o snížení spotřeby některých plastových výrobků na jedno použití a</w:t>
      </w:r>
      <w:r>
        <w:rPr>
          <w:rFonts w:cs="Arial"/>
          <w:szCs w:val="22"/>
        </w:rPr>
        <w:t> </w:t>
      </w:r>
      <w:r w:rsidRPr="003F2750">
        <w:rPr>
          <w:rFonts w:cs="Arial"/>
          <w:szCs w:val="22"/>
        </w:rPr>
        <w:t>opatření přijatá členskými státy za účelem dosažení tohoto snížení</w:t>
      </w:r>
      <w:r>
        <w:rPr>
          <w:rFonts w:cs="Arial"/>
          <w:szCs w:val="22"/>
        </w:rPr>
        <w:t>.</w:t>
      </w:r>
    </w:p>
    <w:p w:rsidR="009E31CD" w:rsidP="002A7AE1" w14:paraId="7492B276" w14:textId="77777777">
      <w:pPr>
        <w:rPr>
          <w:szCs w:val="22"/>
        </w:rPr>
      </w:pPr>
    </w:p>
    <w:p w:rsidR="00F11241" w:rsidRPr="003D0F36" w:rsidP="002A7AE1" w14:paraId="5B9EC32E" w14:textId="77777777">
      <w:pPr>
        <w:rPr>
          <w:szCs w:val="22"/>
        </w:rPr>
      </w:pPr>
    </w:p>
    <w:p w:rsidR="00B32A29" w:rsidP="00A23A85" w14:paraId="25A66959" w14:textId="43612044">
      <w:pPr>
        <w:pStyle w:val="Heading2"/>
      </w:pPr>
      <w:bookmarkStart w:id="12" w:name="_Toc109829311"/>
      <w:r w:rsidRPr="00546E8A">
        <w:t>Popis existujícího právního stavu v dané oblasti</w:t>
      </w:r>
      <w:bookmarkEnd w:id="12"/>
    </w:p>
    <w:p w:rsidR="007E5E71" w:rsidRPr="002B5154" w:rsidP="00C85360" w14:paraId="7E66AF3D" w14:textId="1E73F75A">
      <w:r w:rsidRPr="002B5154">
        <w:t>Na úrovni EU je nakládání s vybranými plastovými výrobky na jedno použití upraveno několika právními předpisy, které jsou v ČR závazné.</w:t>
      </w:r>
    </w:p>
    <w:p w:rsidR="00A23A85" w:rsidRPr="002B5154" w:rsidP="00610C7D" w14:paraId="52236806" w14:textId="3AA194A2">
      <w:pPr>
        <w:pStyle w:val="ListParagraph"/>
        <w:numPr>
          <w:ilvl w:val="0"/>
          <w:numId w:val="33"/>
        </w:numPr>
      </w:pPr>
      <w:r w:rsidRPr="002B5154">
        <w:t xml:space="preserve">Směrnice </w:t>
      </w:r>
      <w:r w:rsidRPr="002B5154" w:rsidR="00A46282">
        <w:t xml:space="preserve">Evropského parlamentu a Rady </w:t>
      </w:r>
      <w:r w:rsidRPr="002B5154">
        <w:t xml:space="preserve">(EU) 2019/904 </w:t>
      </w:r>
      <w:r w:rsidRPr="002B5154" w:rsidR="00A46282">
        <w:t xml:space="preserve">ze dne 5. června 2019 </w:t>
      </w:r>
      <w:r w:rsidRPr="002B5154">
        <w:t>o</w:t>
      </w:r>
      <w:r w:rsidR="00C85360">
        <w:t> </w:t>
      </w:r>
      <w:r w:rsidRPr="002B5154">
        <w:t xml:space="preserve">omezení </w:t>
      </w:r>
      <w:bookmarkStart w:id="13" w:name="_Hlk101346834"/>
      <w:r w:rsidRPr="002B5154">
        <w:t xml:space="preserve">dopadu některých plastových výrobků na životní prostředí </w:t>
      </w:r>
      <w:bookmarkEnd w:id="13"/>
    </w:p>
    <w:p w:rsidR="005A7C08" w:rsidRPr="002B5154" w:rsidP="00610C7D" w14:paraId="2A7C1D09" w14:textId="77777777">
      <w:pPr>
        <w:pStyle w:val="ListParagraph"/>
        <w:numPr>
          <w:ilvl w:val="0"/>
          <w:numId w:val="33"/>
        </w:numPr>
      </w:pPr>
      <w:r w:rsidRPr="002B5154">
        <w:t xml:space="preserve">Směrnice </w:t>
      </w:r>
      <w:r w:rsidRPr="002B5154" w:rsidR="00CA41A5">
        <w:t xml:space="preserve">Evropského parlamentu a Rady </w:t>
      </w:r>
      <w:r w:rsidRPr="002B5154">
        <w:t>(EU</w:t>
      </w:r>
      <w:r w:rsidRPr="002B5154">
        <w:t>) 2018/851 ze dne 30. května 2018, kterou se mění směrnice 2008/98/ES o odpadech</w:t>
      </w:r>
    </w:p>
    <w:p w:rsidR="007E5E71" w:rsidRPr="002B5154" w:rsidP="00610C7D" w14:paraId="1C468C37" w14:textId="415A38E4">
      <w:pPr>
        <w:pStyle w:val="ListParagraph"/>
        <w:numPr>
          <w:ilvl w:val="0"/>
          <w:numId w:val="33"/>
        </w:numPr>
      </w:pPr>
      <w:r w:rsidRPr="002B5154">
        <w:t>Směrnice Evropského parlamentu a Rady (EU) 2018/852 ze dne 30. května 2018, kterou se mění směrnice 94/62/ES o obalech a obalových odpadech (dále jen „směrnice o</w:t>
      </w:r>
      <w:r w:rsidR="0072180C">
        <w:t> </w:t>
      </w:r>
      <w:r w:rsidRPr="002B5154">
        <w:t>obalech“)</w:t>
      </w:r>
      <w:r w:rsidRPr="002B5154" w:rsidR="00CA41A5">
        <w:t xml:space="preserve"> </w:t>
      </w:r>
    </w:p>
    <w:p w:rsidR="00475AA4" w:rsidRPr="002B5154" w:rsidP="00610C7D" w14:paraId="5A31FB63" w14:textId="1E831503">
      <w:pPr>
        <w:pStyle w:val="ListParagraph"/>
        <w:numPr>
          <w:ilvl w:val="0"/>
          <w:numId w:val="33"/>
        </w:numPr>
      </w:pPr>
      <w:r w:rsidRPr="002B5154">
        <w:t xml:space="preserve">Prováděcí rozhodnutí Komise (EU) 2022/162 ze dne 4. února 2022, kterým se stanoví prováděcí pravidla </w:t>
      </w:r>
      <w:r w:rsidRPr="002B5154" w:rsidR="00CA2BD7">
        <w:t>ke směrnici Evropského parlamentu a Rady (EU) 2019/904, pokud jde o výpočet, ověřování a vykazování údajů o snížení spotřeby některých plastových výrobků na jedno použití a opatření přijatá členskými státy za účelem dosažení tohoto snížení</w:t>
      </w:r>
    </w:p>
    <w:p w:rsidR="00D4299C" w:rsidRPr="002B5154" w:rsidP="00610C7D" w14:paraId="1B889E6A" w14:textId="753980FC">
      <w:pPr>
        <w:pStyle w:val="ListParagraph"/>
        <w:numPr>
          <w:ilvl w:val="0"/>
          <w:numId w:val="33"/>
        </w:numPr>
      </w:pPr>
      <w:r w:rsidRPr="002B5154">
        <w:t>Prováděcí rozhodnutí komise (EU) 2021/</w:t>
      </w:r>
      <w:r>
        <w:t>1752</w:t>
      </w:r>
      <w:r w:rsidRPr="002B5154">
        <w:t xml:space="preserve"> ze dne 1. </w:t>
      </w:r>
      <w:r>
        <w:t>října</w:t>
      </w:r>
      <w:r w:rsidRPr="002B5154">
        <w:t xml:space="preserve"> 2021, kterým se stanoví</w:t>
      </w:r>
      <w:r>
        <w:t xml:space="preserve"> prováděcí pravidla ke směrnici Evropského parlamentu a Rady (EU) 2019/904, pokud jde o výpočet, ověřování a vykazování údajů o tříděném sběru odpadu z plastových nápojových lahví na jedno použití.</w:t>
      </w:r>
    </w:p>
    <w:p w:rsidR="00CA2BD7" w:rsidRPr="002B5154" w:rsidP="00C85360" w14:paraId="7894323F" w14:textId="484DDBC1">
      <w:r w:rsidRPr="002B5154">
        <w:t>Během rok</w:t>
      </w:r>
      <w:r w:rsidR="001C4096">
        <w:t>u</w:t>
      </w:r>
      <w:r w:rsidRPr="002B5154">
        <w:t xml:space="preserve"> 2018 </w:t>
      </w:r>
      <w:r w:rsidRPr="002B5154" w:rsidR="00CE7F4C">
        <w:t>bylo ze strany EU schváleno několik směrnic regulujících odpadové hospodářství (tzv. balíček odpadového hospodářství). V roce 2019 byla přijata nová směrnice Evropského parlamentu a Rady (EU) 2019/904 ze dne 5. června 2019 o</w:t>
      </w:r>
      <w:r w:rsidRPr="002B5154" w:rsidR="00334B74">
        <w:t> </w:t>
      </w:r>
      <w:r w:rsidRPr="002B5154" w:rsidR="00CE7F4C">
        <w:t>omezení dopadu některých plastových výrobků na životní prostředí (dále jen „směrnice SUP“), která zavádí nová pravidla pro oblast vybraných plastových výrobků na jedno použití a</w:t>
      </w:r>
      <w:r w:rsidRPr="002B5154" w:rsidR="00286B10">
        <w:t> </w:t>
      </w:r>
      <w:r w:rsidRPr="002B5154" w:rsidR="00CE7F4C">
        <w:t xml:space="preserve">je hlavním klíčovým dokumentem pro tuto oblast. Postupně s nabýváním účinnosti jednotlivých opatření směrnice SUP jsou Evropskou komisí přijímána další prováděcí rozhodnutí, jejichž cílem je zavedení a specifikace bližších požadavků pro jednotlivá opatření směrnice. </w:t>
      </w:r>
    </w:p>
    <w:p w:rsidR="00A23A85" w:rsidRPr="002B5154" w:rsidP="00C85360" w14:paraId="4C7C2516" w14:textId="60D6EB7B">
      <w:r w:rsidRPr="002B5154">
        <w:t>Souvisejícím evropským předpisem je také směrnice Evropského parlamentu a Rady (ES) č.</w:t>
      </w:r>
      <w:r w:rsidR="0072180C">
        <w:t> </w:t>
      </w:r>
      <w:r w:rsidRPr="002B5154">
        <w:t>2008/98 o odpadech a o zrušení některých směrnic (tzv. rámcová směrnice o</w:t>
      </w:r>
      <w:r w:rsidRPr="002B5154" w:rsidR="00334B74">
        <w:t> </w:t>
      </w:r>
      <w:r w:rsidRPr="002B5154">
        <w:t>odpadech). Ta udává pro oblast odpadů například pravidla týkající se vnitřní kontroly hodnocení kvality vykazovaných dat.</w:t>
      </w:r>
    </w:p>
    <w:p w:rsidR="00EA2148" w:rsidRPr="002B5154" w:rsidP="00DA4164" w14:paraId="7122158E" w14:textId="46B01B50">
      <w:r w:rsidRPr="002B5154">
        <w:t xml:space="preserve"> </w:t>
      </w:r>
    </w:p>
    <w:p w:rsidR="004634F2" w:rsidRPr="00546E8A" w:rsidP="0072599B" w14:paraId="2140DA60" w14:textId="77777777">
      <w:pPr>
        <w:pStyle w:val="Heading2"/>
      </w:pPr>
      <w:bookmarkStart w:id="14" w:name="_Toc109829312"/>
      <w:r w:rsidRPr="00546E8A">
        <w:t>Identifikace dotčených subjektů</w:t>
      </w:r>
      <w:bookmarkEnd w:id="14"/>
    </w:p>
    <w:p w:rsidR="004634F2" w:rsidRPr="00546E8A" w:rsidP="00610C7D" w14:paraId="4AE43A3B" w14:textId="07D29D75">
      <w:pPr>
        <w:pStyle w:val="ListParagraph"/>
        <w:numPr>
          <w:ilvl w:val="0"/>
          <w:numId w:val="2"/>
        </w:numPr>
        <w:ind w:left="714" w:hanging="357"/>
      </w:pPr>
      <w:r>
        <w:t xml:space="preserve">Výrobci </w:t>
      </w:r>
      <w:r w:rsidR="00CD1235">
        <w:rPr>
          <w:rFonts w:cs="EU Albertina"/>
          <w:color w:val="000000"/>
          <w:szCs w:val="22"/>
        </w:rPr>
        <w:t>jednorázových plastových obalů</w:t>
      </w:r>
    </w:p>
    <w:p w:rsidR="00C46232" w:rsidP="00610C7D" w14:paraId="36028732" w14:textId="5A1AE82A">
      <w:pPr>
        <w:pStyle w:val="ListParagraph"/>
        <w:numPr>
          <w:ilvl w:val="0"/>
          <w:numId w:val="2"/>
        </w:numPr>
        <w:ind w:left="714" w:hanging="357"/>
      </w:pPr>
      <w:r>
        <w:t>A</w:t>
      </w:r>
      <w:r w:rsidR="006C6BD9">
        <w:t>utorizovan</w:t>
      </w:r>
      <w:r w:rsidR="00CD1235">
        <w:t>á</w:t>
      </w:r>
      <w:r w:rsidR="006C6BD9">
        <w:t xml:space="preserve"> obalov</w:t>
      </w:r>
      <w:r w:rsidR="00CD1235">
        <w:t>á</w:t>
      </w:r>
      <w:r w:rsidR="006C6BD9">
        <w:t xml:space="preserve"> společnost</w:t>
      </w:r>
    </w:p>
    <w:p w:rsidR="00512BDD" w:rsidP="00610C7D" w14:paraId="1F9357C9" w14:textId="40AC0E87">
      <w:pPr>
        <w:pStyle w:val="ListParagraph"/>
        <w:numPr>
          <w:ilvl w:val="0"/>
          <w:numId w:val="2"/>
        </w:numPr>
        <w:ind w:left="714" w:hanging="357"/>
      </w:pPr>
      <w:r>
        <w:t>CENIA</w:t>
      </w:r>
    </w:p>
    <w:p w:rsidR="00512BDD" w:rsidP="00610C7D" w14:paraId="4D8D4C11" w14:textId="4ED869DF">
      <w:pPr>
        <w:pStyle w:val="ListParagraph"/>
        <w:numPr>
          <w:ilvl w:val="0"/>
          <w:numId w:val="2"/>
        </w:numPr>
        <w:ind w:left="714" w:hanging="357"/>
      </w:pPr>
      <w:r>
        <w:t>MŽP</w:t>
      </w:r>
    </w:p>
    <w:p w:rsidR="00F845F1" w:rsidP="00610C7D" w14:paraId="7D21CB6B" w14:textId="6A2D10CF">
      <w:pPr>
        <w:pStyle w:val="ListParagraph"/>
        <w:numPr>
          <w:ilvl w:val="0"/>
          <w:numId w:val="2"/>
        </w:numPr>
        <w:ind w:left="714" w:hanging="357"/>
      </w:pPr>
      <w:r>
        <w:t>Spotřebitelé</w:t>
      </w:r>
      <w:r w:rsidR="00D716AD">
        <w:t xml:space="preserve"> (koneční uživatelé) výrobků či potravin v </w:t>
      </w:r>
      <w:r w:rsidR="00D716AD">
        <w:rPr>
          <w:rFonts w:cs="EU Albertina"/>
          <w:color w:val="000000"/>
          <w:szCs w:val="22"/>
        </w:rPr>
        <w:t>jednorázových plastových obalech</w:t>
      </w:r>
    </w:p>
    <w:p w:rsidR="00D716AD" w:rsidP="00D716AD" w14:paraId="2377DED8" w14:textId="66DEB6D7">
      <w:pPr>
        <w:pStyle w:val="ListParagraph"/>
        <w:numPr>
          <w:ilvl w:val="0"/>
          <w:numId w:val="2"/>
        </w:numPr>
      </w:pPr>
      <w:r>
        <w:t xml:space="preserve">Vlastníci pozemků (včetně </w:t>
      </w:r>
      <w:r>
        <w:rPr>
          <w:rFonts w:cs="EU Albertina"/>
          <w:color w:val="000000"/>
          <w:szCs w:val="22"/>
        </w:rPr>
        <w:t xml:space="preserve">obcí, krajů nebo státu) – úklid </w:t>
      </w:r>
      <w:r>
        <w:rPr>
          <w:rFonts w:cs="EU Albertina"/>
          <w:color w:val="000000"/>
          <w:szCs w:val="22"/>
        </w:rPr>
        <w:t>litteringu</w:t>
      </w:r>
    </w:p>
    <w:p w:rsidR="00512BDD" w:rsidRPr="00546E8A" w:rsidP="00512BDD" w14:paraId="65D87638" w14:textId="77777777">
      <w:pPr>
        <w:pStyle w:val="ListParagraph"/>
        <w:ind w:left="714"/>
      </w:pPr>
    </w:p>
    <w:p w:rsidR="004634F2" w:rsidP="0072599B" w14:paraId="3A64FB92" w14:textId="77777777">
      <w:pPr>
        <w:pStyle w:val="Heading2"/>
      </w:pPr>
      <w:bookmarkStart w:id="15" w:name="_Toc109829313"/>
      <w:r w:rsidRPr="00546E8A">
        <w:t>Popis cílového stavu</w:t>
      </w:r>
      <w:bookmarkEnd w:id="15"/>
    </w:p>
    <w:p w:rsidR="0010572F" w:rsidP="00A81241" w14:paraId="718B95B2" w14:textId="53C82709">
      <w:r>
        <w:t xml:space="preserve">Hlavním cílem </w:t>
      </w:r>
      <w:r>
        <w:t xml:space="preserve">této </w:t>
      </w:r>
      <w:r>
        <w:t>vyhlášky je i</w:t>
      </w:r>
      <w:r w:rsidRPr="003E5328">
        <w:t>mplement</w:t>
      </w:r>
      <w:r>
        <w:t>ovat požadavky evropské</w:t>
      </w:r>
      <w:r w:rsidRPr="003E5328">
        <w:t xml:space="preserve"> legislativy</w:t>
      </w:r>
      <w:r>
        <w:t>, zlepšit nakládání s </w:t>
      </w:r>
      <w:r w:rsidR="00CD1235">
        <w:rPr>
          <w:rFonts w:cs="EU Albertina"/>
          <w:color w:val="000000"/>
          <w:szCs w:val="22"/>
        </w:rPr>
        <w:t>jednorázovými plastovými obaly</w:t>
      </w:r>
      <w:r>
        <w:t xml:space="preserve"> a</w:t>
      </w:r>
      <w:r w:rsidRPr="003E5328">
        <w:t xml:space="preserve"> </w:t>
      </w:r>
      <w:r>
        <w:t>zároveň zajistit, a</w:t>
      </w:r>
      <w:r w:rsidRPr="003E5328">
        <w:t xml:space="preserve">by </w:t>
      </w:r>
      <w:r>
        <w:t xml:space="preserve">měla ČR informace ohledně toku </w:t>
      </w:r>
      <w:r w:rsidR="00CD1235">
        <w:rPr>
          <w:rFonts w:cs="EU Albertina"/>
          <w:color w:val="000000"/>
          <w:szCs w:val="22"/>
        </w:rPr>
        <w:t>jednorázových plastových obalů</w:t>
      </w:r>
      <w:r w:rsidR="00CD1235">
        <w:t xml:space="preserve"> </w:t>
      </w:r>
      <w:r>
        <w:t>a</w:t>
      </w:r>
      <w:r>
        <w:t xml:space="preserve"> </w:t>
      </w:r>
      <w:r w:rsidRPr="003E5328">
        <w:t>data o</w:t>
      </w:r>
      <w:r>
        <w:t xml:space="preserve"> odpadech z plastových </w:t>
      </w:r>
      <w:r w:rsidR="00DA4164">
        <w:t>obalů</w:t>
      </w:r>
      <w:r>
        <w:t xml:space="preserve"> reportovaná EU</w:t>
      </w:r>
      <w:r>
        <w:t xml:space="preserve"> byla</w:t>
      </w:r>
      <w:r>
        <w:t xml:space="preserve"> navzájem porovnatelná s ostatními </w:t>
      </w:r>
      <w:r w:rsidR="003F063D">
        <w:t xml:space="preserve">členskými </w:t>
      </w:r>
      <w:r>
        <w:t>státy</w:t>
      </w:r>
      <w:r w:rsidR="003F063D">
        <w:t xml:space="preserve"> EU</w:t>
      </w:r>
      <w:r>
        <w:t xml:space="preserve">. </w:t>
      </w:r>
    </w:p>
    <w:p w:rsidR="0010572F" w:rsidP="00A81241" w14:paraId="0509CB9B" w14:textId="71484FE6">
      <w:r>
        <w:rPr>
          <w:rFonts w:cs="EU Albertina"/>
          <w:color w:val="000000"/>
          <w:szCs w:val="22"/>
        </w:rPr>
        <w:t xml:space="preserve">Cílem vyhlášky je zajistit vyšší informovanost konečných uživatelů ohledně </w:t>
      </w:r>
      <w:r w:rsidR="003F063D">
        <w:rPr>
          <w:rFonts w:cs="EU Albertina"/>
          <w:color w:val="000000"/>
          <w:szCs w:val="22"/>
        </w:rPr>
        <w:t xml:space="preserve">správného </w:t>
      </w:r>
      <w:r>
        <w:rPr>
          <w:rFonts w:cs="EU Albertina"/>
          <w:color w:val="000000"/>
          <w:szCs w:val="22"/>
        </w:rPr>
        <w:t>nakládání s </w:t>
      </w:r>
      <w:r w:rsidR="00A345EC">
        <w:rPr>
          <w:rFonts w:cs="EU Albertina"/>
          <w:color w:val="000000"/>
          <w:szCs w:val="22"/>
        </w:rPr>
        <w:t>jednorázovými plastovými obaly</w:t>
      </w:r>
      <w:r>
        <w:rPr>
          <w:rFonts w:cs="EU Albertina"/>
          <w:color w:val="000000"/>
          <w:szCs w:val="22"/>
        </w:rPr>
        <w:t xml:space="preserve"> a sjednotit požadavky na osvětové kampaně tak, </w:t>
      </w:r>
      <w:r w:rsidR="00A81241">
        <w:t>aby nedocházelo k rozdílné úrovni vedení</w:t>
      </w:r>
      <w:r>
        <w:t xml:space="preserve"> těchto</w:t>
      </w:r>
      <w:r w:rsidR="00A81241">
        <w:t xml:space="preserve"> kampaní </w:t>
      </w:r>
      <w:r>
        <w:t>a bylo tak vytvořeno</w:t>
      </w:r>
      <w:r w:rsidR="00A81241">
        <w:t xml:space="preserve"> spravedlivé prostředí pro všechny výrobce</w:t>
      </w:r>
      <w:r w:rsidRPr="00224911" w:rsidR="00A81241">
        <w:t xml:space="preserve"> </w:t>
      </w:r>
      <w:r w:rsidR="00A81241">
        <w:t>z hlediska alokace nákladů na</w:t>
      </w:r>
      <w:r w:rsidR="00DA4164">
        <w:t> </w:t>
      </w:r>
      <w:r w:rsidR="00A81241">
        <w:t xml:space="preserve">osvětovou činnost. </w:t>
      </w:r>
    </w:p>
    <w:p w:rsidR="00A345EC" w:rsidP="00A81241" w14:paraId="0CDB333E" w14:textId="50E224D1">
      <w:pPr>
        <w:rPr>
          <w:rFonts w:cs="EU Albertina"/>
          <w:color w:val="000000"/>
          <w:szCs w:val="22"/>
        </w:rPr>
      </w:pPr>
      <w:r>
        <w:rPr>
          <w:rFonts w:cs="Arial"/>
        </w:rPr>
        <w:t>Dalším</w:t>
      </w:r>
      <w:r w:rsidR="007C6D95">
        <w:rPr>
          <w:rFonts w:cs="Arial"/>
        </w:rPr>
        <w:t xml:space="preserve"> cílem vyhlášky je </w:t>
      </w:r>
      <w:r w:rsidR="0016105F">
        <w:rPr>
          <w:rFonts w:cs="Arial"/>
        </w:rPr>
        <w:t xml:space="preserve">také </w:t>
      </w:r>
      <w:r w:rsidR="003F063D">
        <w:rPr>
          <w:rFonts w:cs="Arial"/>
        </w:rPr>
        <w:t>stanov</w:t>
      </w:r>
      <w:r w:rsidR="007C6D95">
        <w:rPr>
          <w:rFonts w:cs="Arial"/>
        </w:rPr>
        <w:t>it</w:t>
      </w:r>
      <w:r w:rsidR="003F063D">
        <w:rPr>
          <w:rFonts w:cs="Arial"/>
        </w:rPr>
        <w:t xml:space="preserve"> rozsah</w:t>
      </w:r>
      <w:r w:rsidR="001B3122">
        <w:rPr>
          <w:rFonts w:cs="Arial"/>
        </w:rPr>
        <w:t xml:space="preserve"> a </w:t>
      </w:r>
      <w:r w:rsidR="003F063D">
        <w:rPr>
          <w:rFonts w:cs="Arial"/>
        </w:rPr>
        <w:t>způsob vedení evidencí</w:t>
      </w:r>
      <w:r w:rsidR="001B3122">
        <w:rPr>
          <w:rFonts w:cs="Arial"/>
        </w:rPr>
        <w:t>,</w:t>
      </w:r>
      <w:r w:rsidR="003F063D">
        <w:rPr>
          <w:rFonts w:cs="Arial"/>
        </w:rPr>
        <w:t xml:space="preserve"> </w:t>
      </w:r>
      <w:r w:rsidR="001B3122">
        <w:rPr>
          <w:rFonts w:cs="Arial"/>
        </w:rPr>
        <w:t>ohlašování údajů z těchto evidencí</w:t>
      </w:r>
      <w:r>
        <w:rPr>
          <w:rFonts w:cs="Arial"/>
        </w:rPr>
        <w:t xml:space="preserve"> pro výrobce vybraných jednorázových plastových obalů</w:t>
      </w:r>
      <w:r w:rsidR="006A246C">
        <w:rPr>
          <w:rFonts w:cs="Arial"/>
        </w:rPr>
        <w:t xml:space="preserve"> – </w:t>
      </w:r>
      <w:r>
        <w:rPr>
          <w:rFonts w:cs="EU Albertina"/>
          <w:color w:val="000000"/>
          <w:szCs w:val="22"/>
        </w:rPr>
        <w:t>nápojových kelímků a obalů na potraviny.</w:t>
      </w:r>
    </w:p>
    <w:p w:rsidR="003F063D" w:rsidP="00A81241" w14:paraId="6DDDFA28" w14:textId="0D97CF57">
      <w:pPr>
        <w:rPr>
          <w:rFonts w:cs="Arial"/>
        </w:rPr>
      </w:pPr>
      <w:r>
        <w:rPr>
          <w:rFonts w:cs="EU Albertina"/>
          <w:color w:val="000000"/>
          <w:szCs w:val="22"/>
        </w:rPr>
        <w:t xml:space="preserve">V neposlední řadě je cílem stanovení způsobu </w:t>
      </w:r>
      <w:r w:rsidR="00EA02A2">
        <w:rPr>
          <w:rFonts w:cs="EU Albertina"/>
          <w:color w:val="000000"/>
          <w:szCs w:val="22"/>
        </w:rPr>
        <w:t xml:space="preserve">výpočtu a </w:t>
      </w:r>
      <w:r>
        <w:rPr>
          <w:rFonts w:cs="EU Albertina"/>
          <w:color w:val="000000"/>
          <w:szCs w:val="22"/>
        </w:rPr>
        <w:t xml:space="preserve">vykazování </w:t>
      </w:r>
      <w:r w:rsidRPr="00EA02A2" w:rsidR="00EA02A2">
        <w:rPr>
          <w:rFonts w:cs="Arial"/>
        </w:rPr>
        <w:t>množstv</w:t>
      </w:r>
      <w:r w:rsidR="00EA02A2">
        <w:rPr>
          <w:rFonts w:cs="Arial"/>
        </w:rPr>
        <w:t xml:space="preserve">í </w:t>
      </w:r>
      <w:r w:rsidRPr="00EA02A2" w:rsidR="00EA02A2">
        <w:rPr>
          <w:rFonts w:cs="Arial"/>
        </w:rPr>
        <w:t>recyklovaných plastů použitých osobami uvádějícími na trh nebo do oběhu jednorázové plastové obaly</w:t>
      </w:r>
      <w:r w:rsidR="00EA02A2">
        <w:rPr>
          <w:rFonts w:cs="Arial"/>
        </w:rPr>
        <w:t>.</w:t>
      </w:r>
    </w:p>
    <w:p w:rsidR="002A7AE1" w:rsidRPr="002A7AE1" w:rsidP="002A7AE1" w14:paraId="45BAAAEA" w14:textId="715F64C0"/>
    <w:p w:rsidR="004634F2" w:rsidP="0072599B" w14:paraId="253BA103" w14:textId="77777777">
      <w:pPr>
        <w:pStyle w:val="Heading2"/>
      </w:pPr>
      <w:bookmarkStart w:id="16" w:name="_Toc109829314"/>
      <w:r w:rsidRPr="00546E8A">
        <w:t>Zhodnocení rizika</w:t>
      </w:r>
      <w:bookmarkEnd w:id="16"/>
    </w:p>
    <w:p w:rsidR="003045F3" w:rsidP="00C85360" w14:paraId="59ED321F" w14:textId="635C86FC">
      <w:r w:rsidRPr="0016789D">
        <w:t xml:space="preserve">Při ponechání současného stavu </w:t>
      </w:r>
      <w:r w:rsidR="0016789D">
        <w:t xml:space="preserve">hrozí riziko nesplnění povinností stanovených evropskou legislativou, a to směrnicí (EU) 2019/904 a směrnicí 2008/98/ES. Při nesplnění požadavků těchto směrnic týkajících se zejména zavedení osvětových kampaní pro výrobce </w:t>
      </w:r>
      <w:r w:rsidR="004F7BA3">
        <w:t xml:space="preserve">jednorázových plastových obalů </w:t>
      </w:r>
      <w:r w:rsidR="0016789D">
        <w:t>a plnění reportingových povinností ohledně vedení evidencí výrobců o</w:t>
      </w:r>
      <w:r w:rsidR="00EF633E">
        <w:t> </w:t>
      </w:r>
      <w:r w:rsidR="004F7BA3">
        <w:t xml:space="preserve">jednorázových plastových obalech </w:t>
      </w:r>
      <w:r w:rsidR="0016789D">
        <w:t xml:space="preserve">uvedených na trh. Při případném nesplnění požadavků směrnic hrozí České republice riziko </w:t>
      </w:r>
      <w:r w:rsidR="0016789D">
        <w:t>infringementu</w:t>
      </w:r>
      <w:r w:rsidR="0016789D">
        <w:t xml:space="preserve"> a následných sankcí ze strany EU.</w:t>
      </w:r>
      <w:r w:rsidRPr="003045F3">
        <w:t xml:space="preserve"> </w:t>
      </w:r>
      <w:bookmarkStart w:id="17" w:name="_Hlk102729856"/>
      <w:r w:rsidRPr="003045F3">
        <w:t>Výše těchto sankcí reflektuje zejména závažnost porušení povinností a dobu, po kterou členský stát své povinnosti neplnil. Minimální výše paušální pokuty je v případě ČR 1 736 000 €. Minimální výše penále pro ČR je 2 500 € denně do té doby, než ČR zjedná nápravu stavu věci. S ohledem na soudní praxi lze reálně očekávat, že se výše paušální pokuty i penále na</w:t>
      </w:r>
      <w:r>
        <w:t> </w:t>
      </w:r>
      <w:r w:rsidRPr="003045F3">
        <w:t>svých dolních hranicích pohybovat nebudou, tj. v případě ČR by se mohlo jednat o cca 10</w:t>
      </w:r>
      <w:r>
        <w:t> </w:t>
      </w:r>
      <w:r w:rsidRPr="003045F3">
        <w:t>000 € denně, až do doby, kdy ČR sjedná nápravu) a 2 miliony € jednorázově.</w:t>
      </w:r>
      <w:bookmarkEnd w:id="17"/>
    </w:p>
    <w:p w:rsidR="00A07303" w:rsidP="00C85360" w14:paraId="0B098A46" w14:textId="2D4FDCC5">
      <w:r>
        <w:t xml:space="preserve">V neposlední řadě hrozí riziko ohrožení životního prostředí z důvodu nesprávného nakládání a nevhodného odstraňování </w:t>
      </w:r>
      <w:r w:rsidR="004F7BA3">
        <w:t xml:space="preserve">jednorázových plastových obalů </w:t>
      </w:r>
      <w:r>
        <w:t>ze strany jejich konečných uživatelů. V tomto případě rovněž hrozí zdravotní a bezpečnost</w:t>
      </w:r>
      <w:r w:rsidR="00070B90">
        <w:t>n</w:t>
      </w:r>
      <w:r>
        <w:t>í rizika.</w:t>
      </w:r>
    </w:p>
    <w:p w:rsidR="00EF633E" w:rsidRPr="0016789D" w:rsidP="00C85360" w14:paraId="5141D2C1" w14:textId="70B280F1">
      <w:r>
        <w:t xml:space="preserve"> </w:t>
      </w:r>
    </w:p>
    <w:p w:rsidR="004634F2" w:rsidRPr="00546E8A" w:rsidP="0072599B" w14:paraId="50F5AE6D" w14:textId="6BD52C75">
      <w:pPr>
        <w:pStyle w:val="Heading1"/>
      </w:pPr>
      <w:bookmarkStart w:id="18" w:name="_Toc109829315"/>
      <w:bookmarkStart w:id="19" w:name="_Hlk102992949"/>
      <w:r>
        <w:rPr>
          <w:rFonts w:cs="Arial"/>
        </w:rPr>
        <w:t>R</w:t>
      </w:r>
      <w:r w:rsidRPr="005544E4">
        <w:rPr>
          <w:rFonts w:cs="Arial"/>
        </w:rPr>
        <w:t xml:space="preserve">ozsah a způsob vedení evidence </w:t>
      </w:r>
      <w:r w:rsidR="005929C9">
        <w:rPr>
          <w:rFonts w:cs="Arial"/>
        </w:rPr>
        <w:t xml:space="preserve">jednorázových plastových lahví </w:t>
      </w:r>
      <w:r w:rsidRPr="005544E4">
        <w:rPr>
          <w:rFonts w:cs="Arial"/>
        </w:rPr>
        <w:t>a ohlašování údajů z této evidence</w:t>
      </w:r>
      <w:r>
        <w:rPr>
          <w:rFonts w:cs="Arial"/>
        </w:rPr>
        <w:t xml:space="preserve"> (§ </w:t>
      </w:r>
      <w:r w:rsidR="005929C9">
        <w:rPr>
          <w:rFonts w:cs="Arial"/>
        </w:rPr>
        <w:t>4</w:t>
      </w:r>
      <w:r>
        <w:rPr>
          <w:rFonts w:cs="Arial"/>
        </w:rPr>
        <w:t xml:space="preserve"> </w:t>
      </w:r>
      <w:r w:rsidR="00CA4E6E">
        <w:rPr>
          <w:rFonts w:cs="Arial"/>
        </w:rPr>
        <w:t xml:space="preserve">a </w:t>
      </w:r>
      <w:r w:rsidR="005929C9">
        <w:rPr>
          <w:rFonts w:cs="Arial"/>
        </w:rPr>
        <w:t>příloha č. 5</w:t>
      </w:r>
      <w:r>
        <w:rPr>
          <w:rFonts w:cs="Arial"/>
        </w:rPr>
        <w:t>)</w:t>
      </w:r>
      <w:bookmarkEnd w:id="18"/>
    </w:p>
    <w:p w:rsidR="004634F2" w:rsidRPr="00786E81" w:rsidP="0072599B" w14:paraId="7C317492" w14:textId="05E46B1A">
      <w:pPr>
        <w:pStyle w:val="Heading2"/>
        <w:rPr>
          <w:i w:val="0"/>
        </w:rPr>
      </w:pPr>
      <w:bookmarkStart w:id="20" w:name="_Toc109829316"/>
      <w:r w:rsidRPr="00786E81">
        <w:rPr>
          <w:i w:val="0"/>
        </w:rPr>
        <w:t>Důvod předložení a cíle</w:t>
      </w:r>
      <w:bookmarkEnd w:id="20"/>
    </w:p>
    <w:p w:rsidR="00786E81" w:rsidP="00786E81" w14:paraId="58AE9D13" w14:textId="5F9296B6">
      <w:pPr>
        <w:pStyle w:val="Heading3"/>
      </w:pPr>
      <w:r w:rsidRPr="00546E8A">
        <w:t>Definice problému</w:t>
      </w:r>
    </w:p>
    <w:p w:rsidR="001243A6" w:rsidRPr="004C1327" w:rsidP="004C1327" w14:paraId="2C305665" w14:textId="540CDA08">
      <w:pPr>
        <w:pStyle w:val="ListParagraph"/>
        <w:ind w:left="0"/>
        <w:rPr>
          <w:rFonts w:cs="Arial"/>
        </w:rPr>
      </w:pPr>
      <w:bookmarkStart w:id="21" w:name="_Hlk109130505"/>
      <w:r w:rsidRPr="005544E4">
        <w:rPr>
          <w:rFonts w:cs="Arial"/>
        </w:rPr>
        <w:t>Dle</w:t>
      </w:r>
      <w:r>
        <w:rPr>
          <w:rFonts w:cs="Arial"/>
        </w:rPr>
        <w:t xml:space="preserve"> </w:t>
      </w:r>
      <w:r w:rsidR="007A4FE4">
        <w:rPr>
          <w:rFonts w:cs="Arial"/>
        </w:rPr>
        <w:t xml:space="preserve">§ 15 </w:t>
      </w:r>
      <w:r>
        <w:rPr>
          <w:rFonts w:cs="Arial"/>
        </w:rPr>
        <w:t>zákona</w:t>
      </w:r>
      <w:r w:rsidRPr="005544E4">
        <w:rPr>
          <w:rFonts w:cs="Arial"/>
        </w:rPr>
        <w:t xml:space="preserve"> </w:t>
      </w:r>
      <w:r w:rsidR="00DD15AA">
        <w:rPr>
          <w:rFonts w:cs="Arial"/>
        </w:rPr>
        <w:t>o obalech</w:t>
      </w:r>
      <w:r w:rsidR="008E586F">
        <w:rPr>
          <w:rFonts w:cs="Arial"/>
        </w:rPr>
        <w:t xml:space="preserve"> </w:t>
      </w:r>
      <w:r w:rsidRPr="005544E4">
        <w:rPr>
          <w:rFonts w:cs="Arial"/>
        </w:rPr>
        <w:t xml:space="preserve">je výrobce plastových </w:t>
      </w:r>
      <w:r w:rsidR="007A4FE4">
        <w:rPr>
          <w:rFonts w:cs="Arial"/>
        </w:rPr>
        <w:t>obal</w:t>
      </w:r>
      <w:r w:rsidRPr="005544E4">
        <w:rPr>
          <w:rFonts w:cs="Arial"/>
        </w:rPr>
        <w:t>ů</w:t>
      </w:r>
      <w:r w:rsidR="007A4FE4">
        <w:rPr>
          <w:rFonts w:cs="Arial"/>
        </w:rPr>
        <w:t xml:space="preserve"> a obalových prostředků</w:t>
      </w:r>
      <w:r w:rsidRPr="005544E4">
        <w:rPr>
          <w:rFonts w:cs="Arial"/>
        </w:rPr>
        <w:t xml:space="preserve"> </w:t>
      </w:r>
      <w:r>
        <w:rPr>
          <w:rFonts w:cs="Arial"/>
        </w:rPr>
        <w:t>povinen</w:t>
      </w:r>
      <w:r w:rsidRPr="005544E4">
        <w:rPr>
          <w:rFonts w:cs="Arial"/>
        </w:rPr>
        <w:t xml:space="preserve"> vést evidenci množství vybraných plastových výrobků, které uvedl na trh, a to v hmotnostních jednotkách</w:t>
      </w:r>
      <w:r w:rsidR="007A4FE4">
        <w:rPr>
          <w:rFonts w:cs="Arial"/>
        </w:rPr>
        <w:t xml:space="preserve">. Nově se tato povinnost vztahuje na výrobce </w:t>
      </w:r>
      <w:r w:rsidR="00E53D23">
        <w:rPr>
          <w:rFonts w:cs="Arial"/>
        </w:rPr>
        <w:t xml:space="preserve">jednorázových plastových </w:t>
      </w:r>
      <w:r w:rsidR="007A4FE4">
        <w:rPr>
          <w:rFonts w:cs="Arial"/>
        </w:rPr>
        <w:t xml:space="preserve">nápojových </w:t>
      </w:r>
      <w:r w:rsidR="007A4FE4">
        <w:rPr>
          <w:rFonts w:cs="Arial"/>
        </w:rPr>
        <w:t>kelímků</w:t>
      </w:r>
      <w:r w:rsidR="005C4A0F">
        <w:rPr>
          <w:rFonts w:cs="Arial"/>
        </w:rPr>
        <w:t xml:space="preserve"> a nádob na potraviny</w:t>
      </w:r>
      <w:r>
        <w:rPr>
          <w:rFonts w:cs="Arial"/>
        </w:rPr>
        <w:t xml:space="preserve">. </w:t>
      </w:r>
      <w:r>
        <w:t>Vyhláška by měla v rámci zákonného zmocnění stanovit rozsah a způsob evidence a ohlašování</w:t>
      </w:r>
      <w:r w:rsidR="004117D1">
        <w:t xml:space="preserve">, aby tato hlášení byla jednotná a vrchní orgány státní správy mohly s touto evidencí dále pracovat v rámci přehledů, statistik a plánovaných opatření k dosažení cílů stanovených směrnicemi (ohledně snižování množství </w:t>
      </w:r>
      <w:r w:rsidR="004F7BA3">
        <w:t>jednorázových plastových obalů</w:t>
      </w:r>
      <w:r w:rsidR="004117D1">
        <w:t xml:space="preserve"> a odpadů z nich).</w:t>
      </w:r>
    </w:p>
    <w:bookmarkEnd w:id="21"/>
    <w:p w:rsidR="00786E81" w:rsidP="00786E81" w14:paraId="722BF196" w14:textId="77777777">
      <w:pPr>
        <w:pStyle w:val="Heading3"/>
      </w:pPr>
      <w:r w:rsidRPr="00546E8A">
        <w:t>Popis existujícího právního stavu v dané oblasti</w:t>
      </w:r>
    </w:p>
    <w:p w:rsidR="00786E81" w:rsidP="00786E81" w14:paraId="5D8D36F9" w14:textId="161AD72D">
      <w:pPr>
        <w:rPr>
          <w:rFonts w:cs="Arial"/>
        </w:rPr>
      </w:pPr>
      <w:r>
        <w:t xml:space="preserve">Povinnost vyplývá ze </w:t>
      </w:r>
      <w:r w:rsidRPr="003045F3">
        <w:t>zákona</w:t>
      </w:r>
      <w:r w:rsidRPr="003045F3" w:rsidR="0065683F">
        <w:t xml:space="preserve"> </w:t>
      </w:r>
      <w:r w:rsidR="00E53D23">
        <w:t>o obalech</w:t>
      </w:r>
      <w:r w:rsidR="00D74992">
        <w:t xml:space="preserve"> </w:t>
      </w:r>
      <w:r w:rsidRPr="003045F3" w:rsidR="0065683F">
        <w:t>a směrnice</w:t>
      </w:r>
      <w:r w:rsidRPr="003045F3">
        <w:t xml:space="preserve"> SUP </w:t>
      </w:r>
      <w:r w:rsidRPr="00A778FF">
        <w:t xml:space="preserve">a také </w:t>
      </w:r>
      <w:r w:rsidRPr="00A778FF">
        <w:rPr>
          <w:rFonts w:cs="Arial"/>
        </w:rPr>
        <w:t>z čl. 8a směrnice 2008/98/ES ve</w:t>
      </w:r>
      <w:r w:rsidR="00D74992">
        <w:rPr>
          <w:rFonts w:cs="Arial"/>
        </w:rPr>
        <w:t> </w:t>
      </w:r>
      <w:r w:rsidRPr="00A778FF">
        <w:rPr>
          <w:rFonts w:cs="Arial"/>
        </w:rPr>
        <w:t>znění směrnice (EU) 851/2018.</w:t>
      </w:r>
      <w:r w:rsidRPr="005544E4">
        <w:rPr>
          <w:rFonts w:cs="Arial"/>
        </w:rPr>
        <w:t xml:space="preserve"> Zde je stanoveno, že každý členský stát zajistí, aby byl zaveden systém podávání zpráv za účelem sběru údajů o výrobcích uváděných na trh členského státu výrobci, na něž se vztahuje rozšířená odpovědnost výrobce</w:t>
      </w:r>
      <w:r>
        <w:rPr>
          <w:rFonts w:cs="Arial"/>
        </w:rPr>
        <w:t>.</w:t>
      </w:r>
    </w:p>
    <w:p w:rsidR="001243A6" w:rsidP="00786E81" w14:paraId="5E1C250A" w14:textId="77777777"/>
    <w:p w:rsidR="00786E81" w:rsidRPr="00546E8A" w:rsidP="00786E81" w14:paraId="6F32802D" w14:textId="77777777">
      <w:pPr>
        <w:pStyle w:val="Heading3"/>
      </w:pPr>
      <w:r w:rsidRPr="00546E8A">
        <w:t>Identifikace dotčených subjektů</w:t>
      </w:r>
    </w:p>
    <w:p w:rsidR="00786E81" w:rsidP="00610C7D" w14:paraId="10719A9D" w14:textId="054BA404">
      <w:pPr>
        <w:pStyle w:val="ListParagraph"/>
        <w:numPr>
          <w:ilvl w:val="0"/>
          <w:numId w:val="18"/>
        </w:numPr>
      </w:pPr>
      <w:r w:rsidRPr="00A414AB">
        <w:t>Výrobc</w:t>
      </w:r>
      <w:r w:rsidRPr="00A414AB" w:rsidR="00396172">
        <w:t xml:space="preserve">i </w:t>
      </w:r>
      <w:r w:rsidR="008355B5">
        <w:t>následujících j</w:t>
      </w:r>
      <w:r w:rsidRPr="008355B5" w:rsidR="008355B5">
        <w:t>ednorázov</w:t>
      </w:r>
      <w:r w:rsidR="008355B5">
        <w:t>ých</w:t>
      </w:r>
      <w:r w:rsidRPr="008355B5" w:rsidR="008355B5">
        <w:t xml:space="preserve"> plastov</w:t>
      </w:r>
      <w:r w:rsidR="008355B5">
        <w:t>ých</w:t>
      </w:r>
      <w:r w:rsidRPr="008355B5" w:rsidR="008355B5">
        <w:t xml:space="preserve"> obal</w:t>
      </w:r>
      <w:r w:rsidR="008355B5">
        <w:t>ů</w:t>
      </w:r>
      <w:r w:rsidRPr="008355B5" w:rsidR="008355B5">
        <w:t xml:space="preserve"> a obalov</w:t>
      </w:r>
      <w:r w:rsidR="008355B5">
        <w:t>ých</w:t>
      </w:r>
      <w:r w:rsidRPr="008355B5" w:rsidR="008355B5">
        <w:t xml:space="preserve"> prostředk</w:t>
      </w:r>
      <w:r w:rsidR="008355B5">
        <w:t>ů:</w:t>
      </w:r>
    </w:p>
    <w:p w:rsidR="008355B5" w:rsidP="00122D70" w14:paraId="5CB863A5" w14:textId="1162D62F">
      <w:pPr>
        <w:pStyle w:val="ListParagraph"/>
        <w:numPr>
          <w:ilvl w:val="0"/>
          <w:numId w:val="36"/>
        </w:numPr>
      </w:pPr>
      <w:r>
        <w:t>Nápojové kelímky, včetně jejich uzávěrů a víček.</w:t>
      </w:r>
    </w:p>
    <w:p w:rsidR="008355B5" w:rsidP="00122D70" w14:paraId="48BFD488" w14:textId="4BC107B7">
      <w:pPr>
        <w:pStyle w:val="ListParagraph"/>
        <w:numPr>
          <w:ilvl w:val="0"/>
          <w:numId w:val="36"/>
        </w:numPr>
      </w:pPr>
      <w:r>
        <w:t xml:space="preserve">Nádoby na potraviny, tj. nádoby, jako jsou krabičky s víkem či bez něj, jež se používají k </w:t>
      </w:r>
      <w:r>
        <w:t>pojmutí</w:t>
      </w:r>
      <w:r>
        <w:t xml:space="preserve"> potravin, které jsou</w:t>
      </w:r>
      <w:r w:rsidR="00122D70">
        <w:t>:</w:t>
      </w:r>
      <w:r>
        <w:t xml:space="preserve"> </w:t>
      </w:r>
    </w:p>
    <w:p w:rsidR="008355B5" w:rsidP="00122D70" w14:paraId="024935A9" w14:textId="274BFA5B">
      <w:pPr>
        <w:pStyle w:val="ListParagraph"/>
        <w:numPr>
          <w:ilvl w:val="0"/>
          <w:numId w:val="37"/>
        </w:numPr>
        <w:ind w:left="1418"/>
      </w:pPr>
      <w:r>
        <w:t>určeny k okamžité spotřebě, a to buď na místě, nebo k odnesení s sebou,</w:t>
      </w:r>
    </w:p>
    <w:p w:rsidR="008355B5" w:rsidP="00122D70" w14:paraId="7CD4C655" w14:textId="219194C4">
      <w:pPr>
        <w:pStyle w:val="ListParagraph"/>
        <w:numPr>
          <w:ilvl w:val="0"/>
          <w:numId w:val="37"/>
        </w:numPr>
        <w:ind w:left="1418"/>
      </w:pPr>
      <w:r>
        <w:t>obvykle spotřebovávány z této nádoby a</w:t>
      </w:r>
    </w:p>
    <w:p w:rsidR="008355B5" w:rsidP="00122D70" w14:paraId="52FC210D" w14:textId="4A804F57">
      <w:pPr>
        <w:pStyle w:val="ListParagraph"/>
        <w:numPr>
          <w:ilvl w:val="0"/>
          <w:numId w:val="37"/>
        </w:numPr>
        <w:ind w:left="1418"/>
      </w:pPr>
      <w:r>
        <w:t>připraveny ke spotřebě bez jakékoli další přípravy, jako je vaření nebo ohřívání, včetně nádob na potraviny používaných pro rychlé občerstvení nebo jiná jídla připravená k</w:t>
      </w:r>
      <w:r w:rsidR="000E6EAB">
        <w:t> </w:t>
      </w:r>
      <w:r>
        <w:t>okamžité spotřebě, s výjimkou nádob na nápoje, talířů a sáčků a</w:t>
      </w:r>
      <w:r w:rsidR="00122D70">
        <w:t> </w:t>
      </w:r>
      <w:r>
        <w:t>balení obsahujících potraviny.</w:t>
      </w:r>
    </w:p>
    <w:p w:rsidR="004C1327" w:rsidRPr="00A414AB" w:rsidP="00610C7D" w14:paraId="27044F95" w14:textId="4C958032">
      <w:pPr>
        <w:pStyle w:val="ListParagraph"/>
        <w:numPr>
          <w:ilvl w:val="0"/>
          <w:numId w:val="18"/>
        </w:numPr>
      </w:pPr>
      <w:r w:rsidRPr="00A414AB">
        <w:t>Ministerstvo životního prostředí</w:t>
      </w:r>
    </w:p>
    <w:p w:rsidR="00D840D3" w:rsidP="00610C7D" w14:paraId="7DACCFF6" w14:textId="3E71DBA0">
      <w:pPr>
        <w:pStyle w:val="ListParagraph"/>
        <w:numPr>
          <w:ilvl w:val="0"/>
          <w:numId w:val="18"/>
        </w:numPr>
      </w:pPr>
      <w:r w:rsidRPr="00A414AB">
        <w:t>C</w:t>
      </w:r>
      <w:r>
        <w:t>ENIA</w:t>
      </w:r>
    </w:p>
    <w:p w:rsidR="00607434" w:rsidP="00607434" w14:paraId="0B753680" w14:textId="77777777"/>
    <w:p w:rsidR="00786E81" w:rsidP="00786E81" w14:paraId="02FEDBF7" w14:textId="77777777">
      <w:pPr>
        <w:pStyle w:val="Heading3"/>
      </w:pPr>
      <w:r w:rsidRPr="00546E8A">
        <w:t>Popis cílového stavu</w:t>
      </w:r>
    </w:p>
    <w:p w:rsidR="00EA4570" w:rsidRPr="003E5328" w:rsidP="00EA4570" w14:paraId="7CF52ECF" w14:textId="125A2889">
      <w:r>
        <w:t>Cílem je i</w:t>
      </w:r>
      <w:r w:rsidRPr="003E5328">
        <w:t>mplementace evropské legislativy</w:t>
      </w:r>
      <w:r>
        <w:t>,</w:t>
      </w:r>
      <w:r w:rsidRPr="003E5328">
        <w:t xml:space="preserve"> a </w:t>
      </w:r>
      <w:r>
        <w:t>zároveň a</w:t>
      </w:r>
      <w:r w:rsidRPr="003E5328">
        <w:t xml:space="preserve">by </w:t>
      </w:r>
      <w:r>
        <w:t xml:space="preserve">měla ČR informace ohledně toku </w:t>
      </w:r>
      <w:r w:rsidR="00122D70">
        <w:t>jednorázových plastových obalů</w:t>
      </w:r>
      <w:r w:rsidR="00736280">
        <w:t>,</w:t>
      </w:r>
      <w:r>
        <w:t xml:space="preserve"> a aby byla </w:t>
      </w:r>
      <w:r w:rsidRPr="003E5328">
        <w:t>data o</w:t>
      </w:r>
      <w:r>
        <w:t> </w:t>
      </w:r>
      <w:r w:rsidR="00122D70">
        <w:t xml:space="preserve">jednorázových plastových obalech </w:t>
      </w:r>
      <w:r w:rsidR="00C24D25">
        <w:t xml:space="preserve">uvedených na trh v členském státě </w:t>
      </w:r>
      <w:r>
        <w:t>reportovaná EU navzájem porovnatelná s ostatními evropskými státy.</w:t>
      </w:r>
    </w:p>
    <w:p w:rsidR="00607434" w:rsidRPr="00607434" w:rsidP="00607434" w14:paraId="1DE3C9BC" w14:textId="77777777">
      <w:pPr>
        <w:spacing w:after="160" w:line="259" w:lineRule="auto"/>
        <w:contextualSpacing/>
        <w:rPr>
          <w:rFonts w:cs="Arial"/>
        </w:rPr>
      </w:pPr>
    </w:p>
    <w:p w:rsidR="00786E81" w:rsidP="00786E81" w14:paraId="44C4A7D3" w14:textId="77777777">
      <w:pPr>
        <w:pStyle w:val="Heading3"/>
      </w:pPr>
      <w:r w:rsidRPr="00546E8A">
        <w:t>Zhodnocení rizika</w:t>
      </w:r>
    </w:p>
    <w:p w:rsidR="00786E81" w:rsidP="00786E81" w14:paraId="1C946F14" w14:textId="348FA152">
      <w:r w:rsidRPr="003E5328">
        <w:t xml:space="preserve">Pokud </w:t>
      </w:r>
      <w:r>
        <w:t>ne</w:t>
      </w:r>
      <w:r w:rsidRPr="003E5328">
        <w:t xml:space="preserve">bude </w:t>
      </w:r>
      <w:r>
        <w:t>zavedena</w:t>
      </w:r>
      <w:r w:rsidRPr="003E5328">
        <w:t xml:space="preserve"> </w:t>
      </w:r>
      <w:r>
        <w:t>e</w:t>
      </w:r>
      <w:r w:rsidR="004D57E9">
        <w:t>videnční povinnost týkající se</w:t>
      </w:r>
      <w:r>
        <w:t xml:space="preserve"> </w:t>
      </w:r>
      <w:r w:rsidR="00122D70">
        <w:t>jednorázových plastových obalů</w:t>
      </w:r>
      <w:r w:rsidRPr="003E5328">
        <w:t xml:space="preserve">, ČR </w:t>
      </w:r>
      <w:r w:rsidR="004D57E9">
        <w:t>nebude mít</w:t>
      </w:r>
      <w:r>
        <w:t xml:space="preserve"> informace ohledně toku </w:t>
      </w:r>
      <w:r w:rsidR="00C24D25">
        <w:t>těchto</w:t>
      </w:r>
      <w:r>
        <w:t xml:space="preserve"> výrobků </w:t>
      </w:r>
      <w:r w:rsidR="004D57E9">
        <w:t xml:space="preserve">a </w:t>
      </w:r>
      <w:r w:rsidRPr="003E5328">
        <w:t>nebude schopna reportovat data o</w:t>
      </w:r>
      <w:r>
        <w:t> </w:t>
      </w:r>
      <w:r w:rsidR="002D7EE7">
        <w:t xml:space="preserve">výrobcích uvedených na trh členského státu výrobci </w:t>
      </w:r>
      <w:r w:rsidRPr="003E5328">
        <w:t>v souladu s</w:t>
      </w:r>
      <w:r>
        <w:t>e směrnicí</w:t>
      </w:r>
      <w:r w:rsidR="00C24D25">
        <w:t xml:space="preserve"> SUP a směrnicí</w:t>
      </w:r>
      <w:r w:rsidR="002D7EE7">
        <w:t xml:space="preserve"> 2008/98/ES</w:t>
      </w:r>
      <w:r w:rsidR="005520B0">
        <w:t xml:space="preserve"> </w:t>
      </w:r>
      <w:r w:rsidR="00C24D25">
        <w:t>o odpadech</w:t>
      </w:r>
      <w:r>
        <w:t xml:space="preserve">, </w:t>
      </w:r>
      <w:r w:rsidRPr="003E5328">
        <w:t>za což hrozí ze</w:t>
      </w:r>
      <w:r>
        <w:t> </w:t>
      </w:r>
      <w:r w:rsidRPr="003E5328">
        <w:t>strany Komise sankce.</w:t>
      </w:r>
    </w:p>
    <w:p w:rsidR="00EA4570" w:rsidP="00786E81" w14:paraId="6FD37436" w14:textId="77777777"/>
    <w:p w:rsidR="00786E81" w:rsidRPr="00546E8A" w:rsidP="00786E81" w14:paraId="6DDE912B" w14:textId="77777777">
      <w:pPr>
        <w:pStyle w:val="Heading2"/>
      </w:pPr>
      <w:bookmarkStart w:id="22" w:name="_Toc109829317"/>
      <w:r w:rsidRPr="00546E8A">
        <w:t>Návrh variant řešení</w:t>
      </w:r>
      <w:bookmarkEnd w:id="22"/>
    </w:p>
    <w:p w:rsidR="00786E81" w:rsidP="00786E81" w14:paraId="04467A1B" w14:textId="77777777">
      <w:pPr>
        <w:pStyle w:val="Heading3"/>
      </w:pPr>
      <w:r w:rsidRPr="00546E8A">
        <w:t>Varianta 0</w:t>
      </w:r>
    </w:p>
    <w:p w:rsidR="00786E81" w:rsidP="00786E81" w14:paraId="1D1DD24E" w14:textId="3591A196">
      <w:r>
        <w:t xml:space="preserve">Ponechání současného stavu, kdy </w:t>
      </w:r>
      <w:r w:rsidR="001243A6">
        <w:t xml:space="preserve">je podle zákona </w:t>
      </w:r>
      <w:r w:rsidR="00C6726E">
        <w:t>o obalech</w:t>
      </w:r>
      <w:r w:rsidR="001243A6">
        <w:t xml:space="preserve"> pro </w:t>
      </w:r>
      <w:r w:rsidR="001243A6">
        <w:rPr>
          <w:rFonts w:cs="Arial"/>
        </w:rPr>
        <w:t>v</w:t>
      </w:r>
      <w:r w:rsidRPr="00EA4570" w:rsidR="001243A6">
        <w:rPr>
          <w:rFonts w:cs="Arial"/>
        </w:rPr>
        <w:t xml:space="preserve">ýrobce </w:t>
      </w:r>
      <w:r w:rsidRPr="00864257" w:rsidR="00654A9C">
        <w:rPr>
          <w:rFonts w:cs="Arial"/>
          <w:szCs w:val="22"/>
        </w:rPr>
        <w:t xml:space="preserve">jednorázových </w:t>
      </w:r>
      <w:r w:rsidRPr="00EA4570" w:rsidR="001243A6">
        <w:rPr>
          <w:rFonts w:cs="Arial"/>
        </w:rPr>
        <w:t xml:space="preserve">plastových </w:t>
      </w:r>
      <w:r w:rsidR="00654A9C">
        <w:rPr>
          <w:rFonts w:cs="Arial"/>
        </w:rPr>
        <w:t>obal</w:t>
      </w:r>
      <w:r w:rsidR="00122D70">
        <w:rPr>
          <w:rFonts w:cs="Arial"/>
        </w:rPr>
        <w:t>ů</w:t>
      </w:r>
      <w:r w:rsidR="001243A6">
        <w:t xml:space="preserve"> zavedena evidenční povinnost ohledně </w:t>
      </w:r>
      <w:r w:rsidRPr="00EA4570" w:rsidR="001243A6">
        <w:rPr>
          <w:rFonts w:cs="Arial"/>
        </w:rPr>
        <w:t xml:space="preserve">množství </w:t>
      </w:r>
      <w:r w:rsidR="00654A9C">
        <w:rPr>
          <w:rFonts w:cs="Arial"/>
        </w:rPr>
        <w:t>obalů</w:t>
      </w:r>
      <w:r w:rsidR="00122D70">
        <w:rPr>
          <w:rFonts w:cs="Arial"/>
        </w:rPr>
        <w:t xml:space="preserve"> uváděných na trh</w:t>
      </w:r>
      <w:r w:rsidR="001243A6">
        <w:t>.</w:t>
      </w:r>
      <w:r w:rsidR="00C12B4E">
        <w:t xml:space="preserve"> </w:t>
      </w:r>
    </w:p>
    <w:p w:rsidR="00921643" w:rsidP="00786E81" w14:paraId="2EF0D095" w14:textId="77777777"/>
    <w:p w:rsidR="00786E81" w:rsidP="00786E81" w14:paraId="700DFE9C" w14:textId="77777777">
      <w:pPr>
        <w:pStyle w:val="Heading3"/>
      </w:pPr>
      <w:r w:rsidRPr="00546E8A">
        <w:t>Varianta 1</w:t>
      </w:r>
    </w:p>
    <w:p w:rsidR="00E53D23" w:rsidRPr="00864257" w:rsidP="00EA4570" w14:paraId="197C8677" w14:textId="60401047">
      <w:pPr>
        <w:rPr>
          <w:rFonts w:cs="Arial"/>
          <w:b/>
          <w:szCs w:val="22"/>
        </w:rPr>
      </w:pPr>
      <w:bookmarkStart w:id="23" w:name="_Hlk109820841"/>
      <w:bookmarkStart w:id="24" w:name="_Hlk109130472"/>
      <w:r>
        <w:rPr>
          <w:rFonts w:cs="Arial"/>
        </w:rPr>
        <w:t xml:space="preserve">Povinnost vést evidenci </w:t>
      </w:r>
      <w:r w:rsidRPr="005544E4" w:rsidR="00D6002E">
        <w:rPr>
          <w:rFonts w:cs="Arial"/>
        </w:rPr>
        <w:t xml:space="preserve">množství </w:t>
      </w:r>
      <w:r w:rsidRPr="00864257" w:rsidR="00864257">
        <w:rPr>
          <w:rFonts w:cs="Arial"/>
          <w:szCs w:val="22"/>
        </w:rPr>
        <w:t>jednorázových plastových obalových prostředků</w:t>
      </w:r>
      <w:r w:rsidRPr="008C0FCF" w:rsidR="00864257">
        <w:rPr>
          <w:rFonts w:cs="Arial"/>
          <w:b/>
          <w:szCs w:val="22"/>
        </w:rPr>
        <w:t xml:space="preserve"> </w:t>
      </w:r>
      <w:r>
        <w:rPr>
          <w:rFonts w:cs="Arial"/>
        </w:rPr>
        <w:t>d</w:t>
      </w:r>
      <w:r w:rsidRPr="005544E4">
        <w:rPr>
          <w:rFonts w:cs="Arial"/>
        </w:rPr>
        <w:t>le</w:t>
      </w:r>
      <w:r>
        <w:rPr>
          <w:rFonts w:cs="Arial"/>
        </w:rPr>
        <w:t xml:space="preserve"> § 15 zákona</w:t>
      </w:r>
      <w:r w:rsidRPr="005544E4">
        <w:rPr>
          <w:rFonts w:cs="Arial"/>
        </w:rPr>
        <w:t xml:space="preserve"> </w:t>
      </w:r>
      <w:r>
        <w:rPr>
          <w:rFonts w:cs="Arial"/>
        </w:rPr>
        <w:t xml:space="preserve">o obalech se bude nově vztahovat </w:t>
      </w:r>
      <w:r w:rsidR="00517EDA">
        <w:rPr>
          <w:rFonts w:cs="Arial"/>
        </w:rPr>
        <w:t xml:space="preserve">také </w:t>
      </w:r>
      <w:r>
        <w:rPr>
          <w:rFonts w:cs="Arial"/>
        </w:rPr>
        <w:t>na výrobce jednorázových plastových nápojových kelímků a nádob na potraviny.</w:t>
      </w:r>
      <w:r w:rsidRPr="00654A9C" w:rsidR="00654A9C">
        <w:rPr>
          <w:rFonts w:cs="Arial"/>
        </w:rPr>
        <w:t xml:space="preserve"> </w:t>
      </w:r>
      <w:r w:rsidRPr="00EA4570" w:rsidR="00654A9C">
        <w:rPr>
          <w:rFonts w:cs="Arial"/>
        </w:rPr>
        <w:t>Ohlášení budou výrobci poskytovat MŽP, pokud nemají uzavřenou smlouvu s </w:t>
      </w:r>
      <w:r w:rsidR="00654A9C">
        <w:rPr>
          <w:rFonts w:cs="Arial"/>
        </w:rPr>
        <w:t>AO</w:t>
      </w:r>
      <w:r w:rsidRPr="00EA4570" w:rsidR="00654A9C">
        <w:rPr>
          <w:rFonts w:cs="Arial"/>
        </w:rPr>
        <w:t xml:space="preserve">S a v případě kontroly </w:t>
      </w:r>
      <w:r w:rsidR="00654A9C">
        <w:rPr>
          <w:rFonts w:cs="Arial"/>
        </w:rPr>
        <w:t xml:space="preserve">budou povinni </w:t>
      </w:r>
      <w:r w:rsidRPr="00EA4570" w:rsidR="00654A9C">
        <w:rPr>
          <w:rFonts w:cs="Arial"/>
        </w:rPr>
        <w:t>předložit ČIŽP patřičné dokumenty.</w:t>
      </w:r>
    </w:p>
    <w:p w:rsidR="00745CA6" w:rsidP="00745CA6" w14:paraId="40397EDB" w14:textId="3CADA9D5">
      <w:pPr>
        <w:rPr>
          <w:rFonts w:cs="Arial"/>
        </w:rPr>
      </w:pPr>
      <w:r>
        <w:rPr>
          <w:rFonts w:cs="Arial"/>
        </w:rPr>
        <w:t xml:space="preserve">Dále </w:t>
      </w:r>
      <w:r w:rsidR="001F622A">
        <w:rPr>
          <w:rFonts w:cs="Arial"/>
        </w:rPr>
        <w:t>AOS</w:t>
      </w:r>
      <w:r w:rsidR="00654A9C">
        <w:rPr>
          <w:rFonts w:cs="Arial"/>
        </w:rPr>
        <w:t xml:space="preserve"> budou za výrobce</w:t>
      </w:r>
      <w:r w:rsidRPr="00654A9C" w:rsidR="00654A9C">
        <w:rPr>
          <w:rFonts w:cs="Arial"/>
        </w:rPr>
        <w:t xml:space="preserve"> </w:t>
      </w:r>
      <w:r w:rsidRPr="00864257" w:rsidR="00654A9C">
        <w:rPr>
          <w:rFonts w:cs="Arial"/>
        </w:rPr>
        <w:t>jednorázov</w:t>
      </w:r>
      <w:r w:rsidR="00654A9C">
        <w:rPr>
          <w:rFonts w:cs="Arial"/>
        </w:rPr>
        <w:t>ých</w:t>
      </w:r>
      <w:r w:rsidRPr="00864257" w:rsidR="00654A9C">
        <w:rPr>
          <w:rFonts w:cs="Arial"/>
        </w:rPr>
        <w:t xml:space="preserve"> plastov</w:t>
      </w:r>
      <w:r w:rsidR="00654A9C">
        <w:rPr>
          <w:rFonts w:cs="Arial"/>
        </w:rPr>
        <w:t xml:space="preserve">ých obalů, za něž plní povinnosti v rámci smlouvy o </w:t>
      </w:r>
      <w:r w:rsidRPr="00745CA6" w:rsidR="00654A9C">
        <w:rPr>
          <w:rFonts w:cs="Arial"/>
        </w:rPr>
        <w:t>sdruženém plnění</w:t>
      </w:r>
      <w:r w:rsidR="00654A9C">
        <w:rPr>
          <w:rFonts w:cs="Arial"/>
        </w:rPr>
        <w:t>,</w:t>
      </w:r>
      <w:r>
        <w:rPr>
          <w:rFonts w:cs="Arial"/>
        </w:rPr>
        <w:t xml:space="preserve"> </w:t>
      </w:r>
      <w:r w:rsidR="00654A9C">
        <w:rPr>
          <w:rFonts w:cs="Arial"/>
        </w:rPr>
        <w:t>vést</w:t>
      </w:r>
      <w:r w:rsidRPr="00864257">
        <w:rPr>
          <w:rFonts w:cs="Arial"/>
        </w:rPr>
        <w:t xml:space="preserve"> </w:t>
      </w:r>
      <w:r w:rsidRPr="00745CA6">
        <w:rPr>
          <w:rFonts w:cs="Arial"/>
        </w:rPr>
        <w:t xml:space="preserve">evidenci </w:t>
      </w:r>
      <w:r w:rsidR="00654A9C">
        <w:rPr>
          <w:rFonts w:cs="Arial"/>
        </w:rPr>
        <w:t xml:space="preserve">o </w:t>
      </w:r>
      <w:r w:rsidRPr="00745CA6">
        <w:rPr>
          <w:rFonts w:cs="Arial"/>
        </w:rPr>
        <w:t xml:space="preserve">množství recyklovaných plastů použitých osobami uvádějícími na trh nebo do oběhu jednorázové plastové </w:t>
      </w:r>
      <w:r w:rsidRPr="00864257" w:rsidR="001F622A">
        <w:rPr>
          <w:rFonts w:cs="Arial"/>
        </w:rPr>
        <w:t>nápojov</w:t>
      </w:r>
      <w:r w:rsidR="001F622A">
        <w:rPr>
          <w:rFonts w:cs="Arial"/>
        </w:rPr>
        <w:t>é</w:t>
      </w:r>
      <w:r w:rsidRPr="00864257" w:rsidR="001F622A">
        <w:rPr>
          <w:rFonts w:cs="Arial"/>
        </w:rPr>
        <w:t xml:space="preserve"> lahv</w:t>
      </w:r>
      <w:r w:rsidR="001F622A">
        <w:rPr>
          <w:rFonts w:cs="Arial"/>
        </w:rPr>
        <w:t>e</w:t>
      </w:r>
      <w:r w:rsidRPr="00745CA6">
        <w:rPr>
          <w:rFonts w:cs="Arial"/>
        </w:rPr>
        <w:t>.</w:t>
      </w:r>
    </w:p>
    <w:bookmarkEnd w:id="23"/>
    <w:bookmarkEnd w:id="24"/>
    <w:p w:rsidR="00786E81" w:rsidP="00786E81" w14:paraId="69331332" w14:textId="6D60519A"/>
    <w:p w:rsidR="00786E81" w:rsidP="00786E81" w14:paraId="6677550B" w14:textId="7375FBC1">
      <w:pPr>
        <w:pStyle w:val="Heading2"/>
      </w:pPr>
      <w:bookmarkStart w:id="25" w:name="_Toc109829318"/>
      <w:r>
        <w:t>Vyhodnocení nákladů a přínosů</w:t>
      </w:r>
      <w:bookmarkEnd w:id="25"/>
    </w:p>
    <w:p w:rsidR="00786E81" w:rsidRPr="006C2720" w:rsidP="00786E81" w14:paraId="08448FBD" w14:textId="03B389AD">
      <w:pPr>
        <w:pStyle w:val="Heading3"/>
        <w:spacing w:after="120"/>
      </w:pPr>
      <w:r>
        <w:t xml:space="preserve">Identifikace </w:t>
      </w:r>
      <w:r w:rsidR="00DC71C1">
        <w:t xml:space="preserve">a vyhodnocení </w:t>
      </w:r>
      <w:r>
        <w:t>nákladů a přínosů</w:t>
      </w:r>
    </w:p>
    <w:p w:rsidR="00786E81" w:rsidRPr="008D339A" w:rsidP="00610C7D" w14:paraId="490CF1C5" w14:textId="77777777">
      <w:pPr>
        <w:pStyle w:val="ListParagraph"/>
        <w:numPr>
          <w:ilvl w:val="0"/>
          <w:numId w:val="7"/>
        </w:numPr>
        <w:rPr>
          <w:b/>
        </w:rPr>
      </w:pPr>
      <w:r w:rsidRPr="008D339A">
        <w:rPr>
          <w:b/>
        </w:rPr>
        <w:t>Varianta 0</w:t>
      </w:r>
    </w:p>
    <w:p w:rsidR="004D57E9" w:rsidP="004D57E9" w14:paraId="24D49A4C" w14:textId="77777777">
      <w:r>
        <w:t xml:space="preserve">O ponechání varianty 0 nelze reálně uvažovat z důvodu nesplnění transpoziční povinnosti a hrozícího </w:t>
      </w:r>
      <w:r>
        <w:t>infringementu</w:t>
      </w:r>
      <w:r>
        <w:t>. Z toho důvodu slouží tato varianta pouze pro srovnání.</w:t>
      </w:r>
    </w:p>
    <w:p w:rsidR="006F469A" w:rsidP="001243A6" w14:paraId="42D45D63" w14:textId="77777777">
      <w:pPr>
        <w:rPr>
          <w:b/>
        </w:rPr>
      </w:pPr>
    </w:p>
    <w:p w:rsidR="001243A6" w:rsidRPr="003E5328" w:rsidP="001243A6" w14:paraId="28B62905" w14:textId="77777777">
      <w:pPr>
        <w:rPr>
          <w:b/>
        </w:rPr>
      </w:pPr>
      <w:r w:rsidRPr="003E5328">
        <w:rPr>
          <w:b/>
        </w:rPr>
        <w:t>Dopady na státní rozpočet a ostatní veřejné rozpočty</w:t>
      </w:r>
    </w:p>
    <w:p w:rsidR="00B00EFF" w:rsidP="004D57E9" w14:paraId="1E22BB12" w14:textId="725D9EC4">
      <w:r w:rsidRPr="00B00EFF">
        <w:t>V případě, že nebude stanoven</w:t>
      </w:r>
      <w:r w:rsidR="001B6D5D">
        <w:t xml:space="preserve"> </w:t>
      </w:r>
      <w:r w:rsidR="00C11683">
        <w:t>formulář</w:t>
      </w:r>
      <w:r w:rsidR="0011332D">
        <w:t xml:space="preserve"> pro</w:t>
      </w:r>
      <w:r w:rsidR="001B6D5D">
        <w:t xml:space="preserve"> </w:t>
      </w:r>
      <w:r w:rsidR="00C11683">
        <w:t>evidenci</w:t>
      </w:r>
      <w:r>
        <w:t xml:space="preserve"> </w:t>
      </w:r>
      <w:r w:rsidRPr="005544E4">
        <w:rPr>
          <w:rFonts w:cs="Arial"/>
        </w:rPr>
        <w:t>množstv</w:t>
      </w:r>
      <w:r>
        <w:rPr>
          <w:rFonts w:cs="Arial"/>
        </w:rPr>
        <w:t xml:space="preserve">í </w:t>
      </w:r>
      <w:r w:rsidRPr="00864257" w:rsidR="001B6D5D">
        <w:rPr>
          <w:rFonts w:cs="Arial"/>
          <w:szCs w:val="22"/>
        </w:rPr>
        <w:t>jednorázových plastových obalů</w:t>
      </w:r>
      <w:r w:rsidRPr="008C0FCF" w:rsidR="001B6D5D">
        <w:rPr>
          <w:rFonts w:cs="Arial"/>
          <w:b/>
          <w:szCs w:val="22"/>
        </w:rPr>
        <w:t xml:space="preserve"> </w:t>
      </w:r>
      <w:r>
        <w:rPr>
          <w:rFonts w:cs="Arial"/>
        </w:rPr>
        <w:t>uvedených výrobci</w:t>
      </w:r>
      <w:r w:rsidRPr="005544E4">
        <w:rPr>
          <w:rFonts w:cs="Arial"/>
        </w:rPr>
        <w:t xml:space="preserve"> na trh</w:t>
      </w:r>
      <w:r w:rsidR="001B6D5D">
        <w:rPr>
          <w:rFonts w:cs="Arial"/>
        </w:rPr>
        <w:t xml:space="preserve"> také pro výrobce jednorázových plastových nápojových kelímků a nádob na potraviny</w:t>
      </w:r>
      <w:r>
        <w:rPr>
          <w:rFonts w:cs="Arial"/>
        </w:rPr>
        <w:t>,</w:t>
      </w:r>
      <w:r w:rsidR="001B6D5D">
        <w:rPr>
          <w:rFonts w:cs="Arial"/>
        </w:rPr>
        <w:t xml:space="preserve"> a dále </w:t>
      </w:r>
      <w:r w:rsidR="00C11683">
        <w:t xml:space="preserve">vzor pro </w:t>
      </w:r>
      <w:r w:rsidR="001B6D5D">
        <w:rPr>
          <w:rFonts w:cs="Arial"/>
        </w:rPr>
        <w:t>evidenc</w:t>
      </w:r>
      <w:r w:rsidR="00C11683">
        <w:rPr>
          <w:rFonts w:cs="Arial"/>
        </w:rPr>
        <w:t>i</w:t>
      </w:r>
      <w:r w:rsidR="001B6D5D">
        <w:rPr>
          <w:rFonts w:cs="Arial"/>
        </w:rPr>
        <w:t xml:space="preserve"> </w:t>
      </w:r>
      <w:r w:rsidRPr="00745CA6" w:rsidR="001B6D5D">
        <w:rPr>
          <w:rFonts w:cs="Arial"/>
        </w:rPr>
        <w:t>množství recyklovaných plastů</w:t>
      </w:r>
      <w:r w:rsidR="001B6D5D">
        <w:rPr>
          <w:rFonts w:cs="Arial"/>
        </w:rPr>
        <w:t xml:space="preserve"> v</w:t>
      </w:r>
      <w:r w:rsidR="00122D70">
        <w:rPr>
          <w:rFonts w:cs="Arial"/>
        </w:rPr>
        <w:t> </w:t>
      </w:r>
      <w:r w:rsidRPr="00745CA6" w:rsidR="001B6D5D">
        <w:rPr>
          <w:rFonts w:cs="Arial"/>
        </w:rPr>
        <w:t>jednorázov</w:t>
      </w:r>
      <w:r w:rsidR="001B6D5D">
        <w:rPr>
          <w:rFonts w:cs="Arial"/>
        </w:rPr>
        <w:t>ých</w:t>
      </w:r>
      <w:r w:rsidRPr="00745CA6" w:rsidR="001B6D5D">
        <w:rPr>
          <w:rFonts w:cs="Arial"/>
        </w:rPr>
        <w:t xml:space="preserve"> </w:t>
      </w:r>
      <w:r w:rsidR="00122D70">
        <w:rPr>
          <w:rFonts w:cs="Arial"/>
        </w:rPr>
        <w:t>PET</w:t>
      </w:r>
      <w:r w:rsidRPr="00745CA6" w:rsidR="001B6D5D">
        <w:rPr>
          <w:rFonts w:cs="Arial"/>
        </w:rPr>
        <w:t xml:space="preserve"> </w:t>
      </w:r>
      <w:r w:rsidRPr="00864257" w:rsidR="001B6D5D">
        <w:rPr>
          <w:rFonts w:cs="Arial"/>
        </w:rPr>
        <w:t>nápojov</w:t>
      </w:r>
      <w:r w:rsidR="001B6D5D">
        <w:rPr>
          <w:rFonts w:cs="Arial"/>
        </w:rPr>
        <w:t>ých</w:t>
      </w:r>
      <w:r w:rsidRPr="00864257" w:rsidR="001B6D5D">
        <w:rPr>
          <w:rFonts w:cs="Arial"/>
        </w:rPr>
        <w:t xml:space="preserve"> lahv</w:t>
      </w:r>
      <w:r w:rsidR="001B6D5D">
        <w:rPr>
          <w:rFonts w:cs="Arial"/>
        </w:rPr>
        <w:t>ích uváděných do oběhu</w:t>
      </w:r>
      <w:r w:rsidR="00C11683">
        <w:rPr>
          <w:rFonts w:cs="Arial"/>
        </w:rPr>
        <w:t xml:space="preserve"> a tyto evidence se nebudou ohlašovat,</w:t>
      </w:r>
      <w:r>
        <w:rPr>
          <w:rFonts w:cs="Arial"/>
        </w:rPr>
        <w:t xml:space="preserve"> nebude mít </w:t>
      </w:r>
      <w:r>
        <w:t xml:space="preserve">ČR informace ohledně toku </w:t>
      </w:r>
      <w:r w:rsidR="001B6D5D">
        <w:t>těchto</w:t>
      </w:r>
      <w:r>
        <w:t xml:space="preserve"> plastových výrobků a</w:t>
      </w:r>
      <w:r w:rsidR="00C11683">
        <w:t> </w:t>
      </w:r>
      <w:r>
        <w:t>tato data nebudou reportovaná EU, za což hrozí ČR sankce.</w:t>
      </w:r>
      <w:r w:rsidR="00D74992">
        <w:t xml:space="preserve"> </w:t>
      </w:r>
      <w:r w:rsidRPr="00D74992" w:rsidR="00D74992">
        <w:t>Výše těchto sankcí reflektuje zejména závažnost porušení povinností a dobu, po kterou členský stát své povinnosti neplnil. Minimální výše paušální pokuty je v případě ČR 1 736 000 €. Minimální výše penále pro ČR je 2 500 € denně do té doby, než ČR zjedná nápravu stavu věci. S ohledem na soudní praxi lze reálně očekávat, že se výše paušální pokuty i penále na svých dolních hranicích pohybovat nebudou, tj. v</w:t>
      </w:r>
      <w:r w:rsidR="001B6D5D">
        <w:t> </w:t>
      </w:r>
      <w:r w:rsidRPr="00D74992" w:rsidR="00D74992">
        <w:t>případě ČR by se mohlo jednat o cca 10 000 € denně, až do doby, kdy ČR sjedná nápravu) a 2 miliony € jednorázově.</w:t>
      </w:r>
    </w:p>
    <w:p w:rsidR="001243A6" w:rsidRPr="003F58C1" w:rsidP="004D57E9" w14:paraId="316FCA71" w14:textId="356F6F2B">
      <w:pPr>
        <w:rPr>
          <w:b/>
        </w:rPr>
      </w:pPr>
      <w:r>
        <w:t xml:space="preserve"> </w:t>
      </w:r>
    </w:p>
    <w:p w:rsidR="004D57E9" w:rsidRPr="003E5328" w:rsidP="004D57E9" w14:paraId="0B301886" w14:textId="77777777">
      <w:pPr>
        <w:spacing w:before="240"/>
        <w:rPr>
          <w:b/>
        </w:rPr>
      </w:pPr>
      <w:r w:rsidRPr="003E5328">
        <w:rPr>
          <w:b/>
        </w:rPr>
        <w:t>Dopady na podnikatelské prostředí</w:t>
      </w:r>
    </w:p>
    <w:p w:rsidR="004D57E9" w:rsidP="004D57E9" w14:paraId="53DEC912" w14:textId="6256CB24">
      <w:pPr>
        <w:rPr>
          <w:rFonts w:eastAsia="MS Mincho"/>
          <w:b/>
        </w:rPr>
      </w:pPr>
      <w:r>
        <w:t xml:space="preserve">Tato varianta nemá dopady </w:t>
      </w:r>
      <w:r w:rsidR="001B6D5D">
        <w:rPr>
          <w:rFonts w:cs="Arial"/>
        </w:rPr>
        <w:t>na výrobce jednorázových plastových nápojových kelímků</w:t>
      </w:r>
      <w:r w:rsidR="00126248">
        <w:rPr>
          <w:rFonts w:cs="Arial"/>
        </w:rPr>
        <w:t xml:space="preserve"> a</w:t>
      </w:r>
      <w:r w:rsidRPr="00126248" w:rsidR="00126248">
        <w:rPr>
          <w:rFonts w:cs="Arial"/>
        </w:rPr>
        <w:t xml:space="preserve"> </w:t>
      </w:r>
      <w:r w:rsidRPr="00864257" w:rsidR="00126248">
        <w:rPr>
          <w:rFonts w:cs="Arial"/>
        </w:rPr>
        <w:t>lahv</w:t>
      </w:r>
      <w:r w:rsidR="00126248">
        <w:rPr>
          <w:rFonts w:cs="Arial"/>
        </w:rPr>
        <w:t>í a</w:t>
      </w:r>
      <w:r w:rsidR="001B6D5D">
        <w:rPr>
          <w:rFonts w:cs="Arial"/>
        </w:rPr>
        <w:t> nádob na potraviny</w:t>
      </w:r>
      <w:r>
        <w:t>.</w:t>
      </w:r>
      <w:r w:rsidR="0036675A">
        <w:t xml:space="preserve"> V současnosti výrobci vedou evidenci výrobků, které vyprodukují </w:t>
      </w:r>
      <w:r w:rsidR="0036675A">
        <w:t>a</w:t>
      </w:r>
      <w:r w:rsidR="00C11683">
        <w:t> </w:t>
      </w:r>
      <w:r w:rsidR="0036675A">
        <w:t>uvedou na trh,</w:t>
      </w:r>
      <w:r w:rsidR="00126248">
        <w:t xml:space="preserve"> i bez povinnosti dle zákona o obalech, a to</w:t>
      </w:r>
      <w:r w:rsidR="0036675A">
        <w:t xml:space="preserve"> z důvodu sledování obratu firmy, </w:t>
      </w:r>
      <w:r w:rsidR="00A82AE7">
        <w:t xml:space="preserve">odvodu </w:t>
      </w:r>
      <w:r w:rsidR="0036675A">
        <w:t xml:space="preserve">daní atd. </w:t>
      </w:r>
    </w:p>
    <w:p w:rsidR="004D57E9" w:rsidP="00786E81" w14:paraId="51A5774E" w14:textId="77777777">
      <w:pPr>
        <w:rPr>
          <w:rFonts w:eastAsia="MS Mincho"/>
          <w:b/>
        </w:rPr>
      </w:pPr>
    </w:p>
    <w:p w:rsidR="00786E81" w:rsidRPr="008D339A" w:rsidP="006A246C" w14:paraId="1C0252F7" w14:textId="77777777">
      <w:pPr>
        <w:pStyle w:val="ListParagraph"/>
        <w:keepNext/>
        <w:numPr>
          <w:ilvl w:val="0"/>
          <w:numId w:val="7"/>
        </w:numPr>
        <w:rPr>
          <w:b/>
        </w:rPr>
      </w:pPr>
      <w:r w:rsidRPr="008D339A">
        <w:rPr>
          <w:b/>
        </w:rPr>
        <w:t>Varianta 1</w:t>
      </w:r>
    </w:p>
    <w:p w:rsidR="000B37AF" w:rsidRPr="003E5328" w:rsidP="006A246C" w14:paraId="402444AF" w14:textId="77777777">
      <w:pPr>
        <w:keepNext/>
        <w:rPr>
          <w:b/>
        </w:rPr>
      </w:pPr>
      <w:r w:rsidRPr="003E5328">
        <w:rPr>
          <w:b/>
        </w:rPr>
        <w:t>Dopady na státní rozpočet a ostatní veřejné rozpočty</w:t>
      </w:r>
    </w:p>
    <w:p w:rsidR="00577190" w:rsidRPr="000913F2" w:rsidP="00DC71C1" w14:paraId="7E47A98F" w14:textId="3A50F120">
      <w:pPr>
        <w:rPr>
          <w:szCs w:val="22"/>
        </w:rPr>
      </w:pPr>
      <w:r>
        <w:rPr>
          <w:rFonts w:cs="Arial"/>
        </w:rPr>
        <w:t xml:space="preserve">Směrnice ukládá povinnost pro </w:t>
      </w:r>
      <w:r w:rsidRPr="005544E4">
        <w:rPr>
          <w:rFonts w:cs="Arial"/>
        </w:rPr>
        <w:t>člensk</w:t>
      </w:r>
      <w:r>
        <w:rPr>
          <w:rFonts w:cs="Arial"/>
        </w:rPr>
        <w:t>é</w:t>
      </w:r>
      <w:r w:rsidRPr="005544E4">
        <w:rPr>
          <w:rFonts w:cs="Arial"/>
        </w:rPr>
        <w:t xml:space="preserve"> stát</w:t>
      </w:r>
      <w:r>
        <w:rPr>
          <w:rFonts w:cs="Arial"/>
        </w:rPr>
        <w:t>y</w:t>
      </w:r>
      <w:r w:rsidRPr="005544E4">
        <w:rPr>
          <w:rFonts w:cs="Arial"/>
        </w:rPr>
        <w:t xml:space="preserve"> zajist</w:t>
      </w:r>
      <w:r>
        <w:rPr>
          <w:rFonts w:cs="Arial"/>
        </w:rPr>
        <w:t>it</w:t>
      </w:r>
      <w:r w:rsidR="00525CC8">
        <w:rPr>
          <w:rFonts w:cs="Arial"/>
        </w:rPr>
        <w:t xml:space="preserve"> </w:t>
      </w:r>
      <w:r w:rsidRPr="005544E4">
        <w:rPr>
          <w:rFonts w:cs="Arial"/>
        </w:rPr>
        <w:t>zaveden</w:t>
      </w:r>
      <w:r w:rsidR="00525CC8">
        <w:rPr>
          <w:rFonts w:cs="Arial"/>
        </w:rPr>
        <w:t>í</w:t>
      </w:r>
      <w:r w:rsidRPr="005544E4">
        <w:rPr>
          <w:rFonts w:cs="Arial"/>
        </w:rPr>
        <w:t xml:space="preserve"> systém</w:t>
      </w:r>
      <w:r w:rsidR="00525CC8">
        <w:rPr>
          <w:rFonts w:cs="Arial"/>
        </w:rPr>
        <w:t>u</w:t>
      </w:r>
      <w:r w:rsidRPr="005544E4">
        <w:rPr>
          <w:rFonts w:cs="Arial"/>
        </w:rPr>
        <w:t xml:space="preserve"> podávání zpráv za</w:t>
      </w:r>
      <w:r w:rsidR="00525CC8">
        <w:rPr>
          <w:rFonts w:cs="Arial"/>
        </w:rPr>
        <w:t> </w:t>
      </w:r>
      <w:r w:rsidRPr="005544E4">
        <w:rPr>
          <w:rFonts w:cs="Arial"/>
        </w:rPr>
        <w:t>účelem sběru údajů o výrobcích uváděných na trh členského státu výrobci, na něž se vztahuje rozšířená odpovědnost výrobce</w:t>
      </w:r>
      <w:r>
        <w:rPr>
          <w:rFonts w:cs="Arial"/>
        </w:rPr>
        <w:t>.</w:t>
      </w:r>
      <w:r w:rsidR="00525CC8">
        <w:rPr>
          <w:rFonts w:cs="Arial"/>
        </w:rPr>
        <w:t xml:space="preserve"> Zavedením ohlašovací povinnosti pro výrobce </w:t>
      </w:r>
      <w:r w:rsidR="00C11683">
        <w:rPr>
          <w:rFonts w:cs="Arial"/>
        </w:rPr>
        <w:t>jednorázových plastových nápojových kelímků</w:t>
      </w:r>
      <w:r w:rsidR="00126248">
        <w:rPr>
          <w:rFonts w:cs="Arial"/>
        </w:rPr>
        <w:t>,</w:t>
      </w:r>
      <w:r w:rsidR="00C11683">
        <w:rPr>
          <w:rFonts w:cs="Arial"/>
        </w:rPr>
        <w:t> nádob na potraviny a</w:t>
      </w:r>
      <w:r w:rsidR="00126248">
        <w:rPr>
          <w:rFonts w:cs="Arial"/>
        </w:rPr>
        <w:t xml:space="preserve"> </w:t>
      </w:r>
      <w:r w:rsidRPr="00745CA6" w:rsidR="00126248">
        <w:rPr>
          <w:rFonts w:cs="Arial"/>
        </w:rPr>
        <w:t>jednorázov</w:t>
      </w:r>
      <w:r w:rsidR="00126248">
        <w:rPr>
          <w:rFonts w:cs="Arial"/>
        </w:rPr>
        <w:t>ých</w:t>
      </w:r>
      <w:r w:rsidRPr="00745CA6" w:rsidR="00126248">
        <w:rPr>
          <w:rFonts w:cs="Arial"/>
        </w:rPr>
        <w:t xml:space="preserve"> </w:t>
      </w:r>
      <w:r w:rsidR="005A28F6">
        <w:rPr>
          <w:rFonts w:cs="Arial"/>
        </w:rPr>
        <w:t>PET</w:t>
      </w:r>
      <w:r w:rsidRPr="00745CA6" w:rsidR="00126248">
        <w:rPr>
          <w:rFonts w:cs="Arial"/>
        </w:rPr>
        <w:t xml:space="preserve"> </w:t>
      </w:r>
      <w:r w:rsidRPr="00864257" w:rsidR="00126248">
        <w:rPr>
          <w:rFonts w:cs="Arial"/>
        </w:rPr>
        <w:t>nápojov</w:t>
      </w:r>
      <w:r w:rsidR="00126248">
        <w:rPr>
          <w:rFonts w:cs="Arial"/>
        </w:rPr>
        <w:t xml:space="preserve">ých lahví </w:t>
      </w:r>
      <w:r w:rsidR="005A28F6">
        <w:rPr>
          <w:rFonts w:cs="Arial"/>
        </w:rPr>
        <w:t xml:space="preserve">ohledně množství přimíchávaného recyklátu </w:t>
      </w:r>
      <w:r w:rsidRPr="000913F2" w:rsidR="00525CC8">
        <w:rPr>
          <w:rFonts w:cs="Arial"/>
        </w:rPr>
        <w:t xml:space="preserve">dojde ke splnění transpoziční povinnosti a omezení rizika </w:t>
      </w:r>
      <w:r w:rsidRPr="000913F2" w:rsidR="00525CC8">
        <w:rPr>
          <w:rFonts w:cs="Arial"/>
        </w:rPr>
        <w:t>infringementu</w:t>
      </w:r>
      <w:r w:rsidRPr="000913F2" w:rsidR="00525CC8">
        <w:rPr>
          <w:rFonts w:cs="Arial"/>
        </w:rPr>
        <w:t xml:space="preserve"> a následných pokut pro ČR.</w:t>
      </w:r>
    </w:p>
    <w:p w:rsidR="005A28F6" w:rsidP="00DC71C1" w14:paraId="6BE9F56A" w14:textId="77777777">
      <w:pPr>
        <w:rPr>
          <w:rFonts w:eastAsia="MS Mincho" w:cs="Arial"/>
          <w:bCs/>
          <w:szCs w:val="22"/>
        </w:rPr>
      </w:pPr>
      <w:bookmarkStart w:id="26" w:name="_Hlk109130575"/>
      <w:r w:rsidRPr="000913F2">
        <w:rPr>
          <w:szCs w:val="22"/>
        </w:rPr>
        <w:t xml:space="preserve">Vytvoření </w:t>
      </w:r>
      <w:r w:rsidRPr="000913F2" w:rsidR="000B37AF">
        <w:rPr>
          <w:szCs w:val="22"/>
        </w:rPr>
        <w:t xml:space="preserve">formulářů pro </w:t>
      </w:r>
      <w:bookmarkStart w:id="27" w:name="_Hlk109820820"/>
      <w:r w:rsidRPr="000913F2" w:rsidR="000B37AF">
        <w:rPr>
          <w:rFonts w:eastAsia="MS Mincho" w:cs="Arial"/>
          <w:bCs/>
          <w:szCs w:val="22"/>
        </w:rPr>
        <w:t xml:space="preserve">ohlašování dat o </w:t>
      </w:r>
      <w:r w:rsidRPr="000913F2">
        <w:t>vybraných plastových výrobcích</w:t>
      </w:r>
      <w:r w:rsidRPr="000913F2">
        <w:rPr>
          <w:rFonts w:eastAsia="MS Mincho" w:cs="Arial"/>
          <w:bCs/>
          <w:szCs w:val="22"/>
        </w:rPr>
        <w:t xml:space="preserve"> </w:t>
      </w:r>
      <w:r w:rsidRPr="000913F2" w:rsidR="000B37AF">
        <w:rPr>
          <w:rFonts w:eastAsia="MS Mincho" w:cs="Arial"/>
          <w:bCs/>
          <w:szCs w:val="22"/>
        </w:rPr>
        <w:t xml:space="preserve">si vyžádá jednorázové náklady </w:t>
      </w:r>
      <w:r w:rsidRPr="000913F2" w:rsidR="000B37AF">
        <w:t>na straně CENIA</w:t>
      </w:r>
      <w:r w:rsidRPr="000913F2" w:rsidR="000B37AF">
        <w:rPr>
          <w:rFonts w:eastAsia="MS Mincho" w:cs="Arial"/>
          <w:bCs/>
          <w:szCs w:val="22"/>
        </w:rPr>
        <w:t xml:space="preserve">. </w:t>
      </w:r>
      <w:r w:rsidR="00F77D7B">
        <w:rPr>
          <w:rFonts w:eastAsia="MS Mincho" w:cs="Arial"/>
          <w:bCs/>
          <w:szCs w:val="22"/>
        </w:rPr>
        <w:t xml:space="preserve">Pro ohlašování množství </w:t>
      </w:r>
      <w:r w:rsidR="00F77D7B">
        <w:rPr>
          <w:rFonts w:cs="Arial"/>
        </w:rPr>
        <w:t>jednorázových plastových nápojových kelímků a nádob na potraviny předpokládáme využití stávajících formulářů pro ostatní plastové obaly.</w:t>
      </w:r>
      <w:r w:rsidR="00F77D7B">
        <w:rPr>
          <w:rFonts w:eastAsia="MS Mincho" w:cs="Arial"/>
          <w:bCs/>
          <w:szCs w:val="22"/>
        </w:rPr>
        <w:t xml:space="preserve"> </w:t>
      </w:r>
    </w:p>
    <w:p w:rsidR="00DC71C1" w:rsidRPr="000913F2" w:rsidP="00DC71C1" w14:paraId="1391106C" w14:textId="15A1669B">
      <w:pPr>
        <w:rPr>
          <w:szCs w:val="22"/>
        </w:rPr>
      </w:pPr>
      <w:r>
        <w:rPr>
          <w:rFonts w:eastAsia="MS Mincho" w:cs="Arial"/>
          <w:bCs/>
          <w:szCs w:val="22"/>
        </w:rPr>
        <w:t>V</w:t>
      </w:r>
      <w:r w:rsidR="00F77D7B">
        <w:rPr>
          <w:rFonts w:eastAsia="MS Mincho" w:cs="Arial"/>
          <w:bCs/>
          <w:szCs w:val="22"/>
        </w:rPr>
        <w:t xml:space="preserve"> souvislosti s ohlašováním množství recyklátu v jednorázových plastových lahvích bude zapotřebí vytvoření nového formulář. </w:t>
      </w:r>
      <w:r w:rsidRPr="000913F2" w:rsidR="000B37AF">
        <w:t xml:space="preserve">Tvorba jednoho nového elektronického formuláře pro ohlašování prostřednictvím systému ISPOP s sebou nese náklad cca </w:t>
      </w:r>
      <w:r w:rsidRPr="000913F2" w:rsidR="00934084">
        <w:t>500</w:t>
      </w:r>
      <w:r w:rsidRPr="000913F2" w:rsidR="000B37AF">
        <w:t> tis. Kč</w:t>
      </w:r>
      <w:bookmarkStart w:id="28" w:name="_Hlk109820915"/>
      <w:bookmarkEnd w:id="27"/>
      <w:r w:rsidRPr="000913F2" w:rsidR="000B37AF">
        <w:t>. K tomu je nutné připočítat administrativní zátěž pracovníků CENIA ve výši 152 800 Kč</w:t>
      </w:r>
      <w:bookmarkEnd w:id="28"/>
      <w:r>
        <w:rPr>
          <w:rStyle w:val="FootnoteReference"/>
        </w:rPr>
        <w:footnoteReference w:id="2"/>
      </w:r>
      <w:r w:rsidRPr="000913F2" w:rsidR="000B37AF">
        <w:t xml:space="preserve"> (cca 50 člověkodnů), která souvisí se zpracováním zadání dodavateli, kontrolou jeho práce, konzultacemi, testováním připraveného formuláře a předávacím řízením. </w:t>
      </w:r>
      <w:r w:rsidRPr="000913F2" w:rsidR="00BF6AF9">
        <w:t xml:space="preserve">Kromě toho je potřeba zajistit propojení údajů z nového formuláře pro individuálně plnící výrobce v ISPOP se systémem ISOH2 a zajistit zabezpečení nové datové struktury v ISOH2. </w:t>
      </w:r>
      <w:r w:rsidRPr="009850DF" w:rsidR="009850DF">
        <w:t xml:space="preserve">Tento formulář </w:t>
      </w:r>
      <w:r w:rsidRPr="000913F2" w:rsidR="009850DF">
        <w:t>a</w:t>
      </w:r>
      <w:r w:rsidR="009850DF">
        <w:t> </w:t>
      </w:r>
      <w:r w:rsidRPr="000913F2" w:rsidR="00BF6AF9">
        <w:t xml:space="preserve">propojení údajů ze systému ISPOP s ISOH2 </w:t>
      </w:r>
      <w:r w:rsidRPr="000913F2">
        <w:t>bude součástí realizace systému IS</w:t>
      </w:r>
      <w:r w:rsidRPr="000913F2" w:rsidR="00CA7645">
        <w:t>OH2</w:t>
      </w:r>
      <w:r w:rsidRPr="000913F2" w:rsidR="0088667B">
        <w:t xml:space="preserve"> </w:t>
      </w:r>
      <w:r w:rsidRPr="000913F2">
        <w:t>a tyto náklady budou hrazeny z</w:t>
      </w:r>
      <w:r w:rsidRPr="000913F2" w:rsidR="00830653">
        <w:t> </w:t>
      </w:r>
      <w:r w:rsidRPr="000913F2">
        <w:t>rezervovaných prostředků na vývoj systému ISO</w:t>
      </w:r>
      <w:r w:rsidRPr="000913F2" w:rsidR="00CA7645">
        <w:t>H</w:t>
      </w:r>
      <w:r w:rsidRPr="000913F2">
        <w:t>2.</w:t>
      </w:r>
    </w:p>
    <w:bookmarkEnd w:id="26"/>
    <w:p w:rsidR="00C1600C" w:rsidP="00C1600C" w14:paraId="5B611D9C" w14:textId="3DB8A854">
      <w:r w:rsidRPr="000913F2">
        <w:rPr>
          <w:bCs/>
        </w:rPr>
        <w:t>Implementace legislativní změny by měla spadat pod soutěženou zakázku na nový ISOH2, na</w:t>
      </w:r>
      <w:r w:rsidRPr="000913F2" w:rsidR="00BF6AF9">
        <w:rPr>
          <w:bCs/>
        </w:rPr>
        <w:t> </w:t>
      </w:r>
      <w:r w:rsidRPr="000913F2">
        <w:rPr>
          <w:bCs/>
        </w:rPr>
        <w:t>níž již jsou rezervované prostředky</w:t>
      </w:r>
      <w:r w:rsidRPr="00AE4B4F">
        <w:rPr>
          <w:bCs/>
        </w:rPr>
        <w:t xml:space="preserve">. </w:t>
      </w:r>
      <w:r w:rsidRPr="00AE4B4F">
        <w:t>Tyto náklady tedy budou hrazeny z již schválených finančních prostředků kapitoly 315 - MŽP, bez dalších nároků na jejich navýšení.</w:t>
      </w:r>
      <w:r>
        <w:t xml:space="preserve"> Ovšem pokud by výše zakázky převýšila finanční rozpočet </w:t>
      </w:r>
      <w:r w:rsidR="000913F2">
        <w:t xml:space="preserve">alokovaný </w:t>
      </w:r>
      <w:r>
        <w:t>na ISOH2, musely by být tyto prostředky pokryty z jiných zdrojů v rámci kapitoly 315 – MŽP.</w:t>
      </w:r>
    </w:p>
    <w:p w:rsidR="000B37AF" w:rsidP="00C1600C" w14:paraId="24357A87" w14:textId="6B0935C8">
      <w:r>
        <w:t xml:space="preserve">Zároveň dojde k jednorázovému navýšení administrativní zátěže na straně </w:t>
      </w:r>
      <w:bookmarkStart w:id="29" w:name="_Hlk109820893"/>
      <w:r>
        <w:t>MŽP, která souvisí se zadáním týkajícím se změny a vytvoření formulářů pro CENIA. Administrativní zátěž je odhadována přibližně na 24 hod, což činí 11 500 Kč</w:t>
      </w:r>
      <w:bookmarkEnd w:id="29"/>
      <w:r>
        <w:rPr>
          <w:rStyle w:val="FootnoteReference"/>
        </w:rPr>
        <w:footnoteReference w:id="3"/>
      </w:r>
      <w:r>
        <w:t>. Toto navýšení bude zvládnuto v rámci stávajících personálních kapacit odboru odpadů.</w:t>
      </w:r>
    </w:p>
    <w:p w:rsidR="000B37AF" w:rsidP="000B37AF" w14:paraId="32AA452A" w14:textId="77777777">
      <w:pPr>
        <w:rPr>
          <w:rFonts w:eastAsia="MS Mincho" w:cs="Arial"/>
          <w:bCs/>
          <w:szCs w:val="22"/>
        </w:rPr>
      </w:pPr>
    </w:p>
    <w:p w:rsidR="000B37AF" w:rsidRPr="003E5328" w:rsidP="000B37AF" w14:paraId="492C37F8" w14:textId="77777777">
      <w:pPr>
        <w:keepNext/>
        <w:rPr>
          <w:b/>
        </w:rPr>
      </w:pPr>
      <w:r w:rsidRPr="003E5328">
        <w:rPr>
          <w:b/>
        </w:rPr>
        <w:t>Dopady na podnikatelské prostředí</w:t>
      </w:r>
    </w:p>
    <w:p w:rsidR="000B37AF" w:rsidP="000B37AF" w14:paraId="6E153F24" w14:textId="6EE19DCD">
      <w:r w:rsidRPr="00122D70">
        <w:t xml:space="preserve">V současnosti výrobci vedou evidenci výrobků, které vyprodukují a uvedou na trh, z důvodu sledování obratu firmy, daní atd. </w:t>
      </w:r>
      <w:r w:rsidRPr="00122D70" w:rsidR="000D75FE">
        <w:t xml:space="preserve">V souvislosti s vedením evidence se tedy neočekává navýšení administrativní zátěže výrobců </w:t>
      </w:r>
      <w:r w:rsidRPr="00122D70" w:rsidR="00A516B8">
        <w:t xml:space="preserve">jednorázových plastových </w:t>
      </w:r>
      <w:r w:rsidRPr="00A516B8" w:rsidR="00A516B8">
        <w:rPr>
          <w:rFonts w:cs="Arial"/>
        </w:rPr>
        <w:t>nápojových kelímků a nádob na potraviny</w:t>
      </w:r>
      <w:r w:rsidR="00122D70">
        <w:t xml:space="preserve"> ani </w:t>
      </w:r>
      <w:r w:rsidR="00CC326B">
        <w:t>AOS</w:t>
      </w:r>
      <w:r w:rsidRPr="00122D70" w:rsidR="004311DE">
        <w:t>.</w:t>
      </w:r>
    </w:p>
    <w:p w:rsidR="005A28F6" w:rsidP="000B37AF" w14:paraId="52E9EC32" w14:textId="384AAE16">
      <w:r>
        <w:t xml:space="preserve">V souvislosti </w:t>
      </w:r>
      <w:r>
        <w:t xml:space="preserve">s evidencí a vykazováním </w:t>
      </w:r>
      <w:r w:rsidRPr="005A28F6">
        <w:t xml:space="preserve">množství recyklovaných plastů použitých osobami uvádějícími na trh nebo do oběhu jednorázové plastové obaly </w:t>
      </w:r>
      <w:r>
        <w:t>se nepředpokládá významné navýšení administrativní zátěže na straně výrobců ani na straně AOS. Dle konzultace s AOS půjde o zanedbatelné náklady.</w:t>
      </w:r>
      <w:r w:rsidR="00485997">
        <w:t xml:space="preserve"> Povinné přimíchávání r-PET do PET nápojových lahví může mírně navýšit náklady AOS na audit evidencí výrobců a osob uvádějících na trh PET lahve, z důvodu prodloužení auditu, aby byla zkontrolována vlastní evidence</w:t>
      </w:r>
      <w:r w:rsidR="007F4C79">
        <w:t xml:space="preserve"> v souvislosti s </w:t>
      </w:r>
      <w:r w:rsidR="00485997">
        <w:t>přimíchávání</w:t>
      </w:r>
      <w:r w:rsidR="007F4C79">
        <w:t>m</w:t>
      </w:r>
      <w:r w:rsidR="00485997">
        <w:t xml:space="preserve"> recyklátu do PET lahví. </w:t>
      </w:r>
      <w:r w:rsidR="007F4C79">
        <w:t>Navýšení nákladů na audity jsou dle AOS odhadovány na jednotky milionů Kč/rok.</w:t>
      </w:r>
    </w:p>
    <w:p w:rsidR="007F4C79" w:rsidP="000B37AF" w14:paraId="24055CA8" w14:textId="5830890C">
      <w:r>
        <w:t>O</w:t>
      </w:r>
      <w:r w:rsidRPr="007F4C79">
        <w:t>dhad ročních nákladů na povinný obsah 25</w:t>
      </w:r>
      <w:r>
        <w:t xml:space="preserve"> </w:t>
      </w:r>
      <w:r w:rsidRPr="007F4C79">
        <w:t>% recyklátu v plastových láhvích se může při zohlednění tržních cen pohybovat v rozmezí 115</w:t>
      </w:r>
      <w:r w:rsidR="006A246C">
        <w:t xml:space="preserve"> – </w:t>
      </w:r>
      <w:r w:rsidRPr="007F4C79">
        <w:t>500 mil. Kč (pro láhve vyrobené z PET). Pro lahve z jiných materiálů nelze odhadnout, ale tyto představují pouze minoritní zastoupení.</w:t>
      </w:r>
      <w:r>
        <w:t xml:space="preserve"> Tyto náklady však vyplývají přímo ze zákona o obalech (potažmo ze směrnice SUP), nikoli z této vyhlášky.</w:t>
      </w:r>
    </w:p>
    <w:p w:rsidR="00525CC8" w:rsidP="000B37AF" w14:paraId="2DC2BA6A" w14:textId="77777777">
      <w:pPr>
        <w:rPr>
          <w:b/>
        </w:rPr>
      </w:pPr>
    </w:p>
    <w:p w:rsidR="00247521" w:rsidRPr="00247521" w:rsidP="000913F2" w14:paraId="1ABDB465" w14:textId="563797AD">
      <w:pPr>
        <w:keepNext/>
        <w:rPr>
          <w:b/>
        </w:rPr>
      </w:pPr>
      <w:r w:rsidRPr="00247521">
        <w:rPr>
          <w:b/>
        </w:rPr>
        <w:t>Dopady na životní prostředí</w:t>
      </w:r>
    </w:p>
    <w:p w:rsidR="00247521" w:rsidP="000B37AF" w14:paraId="7A94AB48" w14:textId="0A61106A">
      <w:r>
        <w:t>Díky získaným</w:t>
      </w:r>
      <w:r>
        <w:t xml:space="preserve"> informací</w:t>
      </w:r>
      <w:r>
        <w:t>m</w:t>
      </w:r>
      <w:r>
        <w:t xml:space="preserve"> ohledně produkce a nakládání s vybranými plastovými výrobky na</w:t>
      </w:r>
      <w:r>
        <w:t> </w:t>
      </w:r>
      <w:r>
        <w:t xml:space="preserve">jedno použití, </w:t>
      </w:r>
      <w:r w:rsidRPr="00C97582" w:rsidR="00577190">
        <w:t>je možné</w:t>
      </w:r>
      <w:r w:rsidR="00577190">
        <w:t xml:space="preserve"> </w:t>
      </w:r>
      <w:r>
        <w:t xml:space="preserve">provádět </w:t>
      </w:r>
      <w:r w:rsidR="00577190">
        <w:t xml:space="preserve">a </w:t>
      </w:r>
      <w:r w:rsidRPr="00C97582" w:rsidR="00577190">
        <w:t>plánovat další relevantní činnost</w:t>
      </w:r>
      <w:r w:rsidR="00577190">
        <w:t>i</w:t>
      </w:r>
      <w:r w:rsidRPr="00C97582" w:rsidR="00577190">
        <w:t xml:space="preserve"> </w:t>
      </w:r>
      <w:r>
        <w:t>z </w:t>
      </w:r>
      <w:r w:rsidR="00577190">
        <w:t>pozice</w:t>
      </w:r>
      <w:r>
        <w:t xml:space="preserve"> MŽP</w:t>
      </w:r>
      <w:r w:rsidR="00577190">
        <w:t xml:space="preserve">, </w:t>
      </w:r>
      <w:r w:rsidRPr="00C97582">
        <w:t>kontrolních a</w:t>
      </w:r>
      <w:r>
        <w:t> </w:t>
      </w:r>
      <w:r w:rsidRPr="00C97582">
        <w:t xml:space="preserve">dozorových orgánů a </w:t>
      </w:r>
      <w:r w:rsidR="00577190">
        <w:t xml:space="preserve">dosáhnout tak </w:t>
      </w:r>
      <w:r w:rsidR="00297249">
        <w:t xml:space="preserve">hlavního </w:t>
      </w:r>
      <w:r w:rsidR="00577190">
        <w:t>cíl</w:t>
      </w:r>
      <w:r w:rsidR="00297249">
        <w:t>e</w:t>
      </w:r>
      <w:r w:rsidR="00577190">
        <w:t xml:space="preserve"> směrnice, a to snížení dopadů odpadů z jednorázových plastových </w:t>
      </w:r>
      <w:r w:rsidR="007F4C79">
        <w:t>obalů</w:t>
      </w:r>
      <w:r w:rsidR="00577190">
        <w:t xml:space="preserve"> na životní prostředí.</w:t>
      </w:r>
    </w:p>
    <w:p w:rsidR="00247521" w:rsidP="000B37AF" w14:paraId="4652DC5E" w14:textId="77777777"/>
    <w:p w:rsidR="00464807" w:rsidRPr="006163F0" w:rsidP="00464807" w14:paraId="78512411" w14:textId="77777777">
      <w:pPr>
        <w:pStyle w:val="Heading3"/>
      </w:pPr>
      <w:r w:rsidRPr="00B14931">
        <w:t>Vyhodnocení nákladů a přínosů variant</w:t>
      </w:r>
    </w:p>
    <w:p w:rsidR="00464807" w:rsidP="00464807" w14:paraId="5BE19703" w14:textId="77777777">
      <w:pPr>
        <w:pStyle w:val="Caption"/>
        <w:keepNext/>
      </w:pPr>
      <w:r w:rsidRPr="00B14931">
        <w:t xml:space="preserve">Tabulka </w:t>
      </w:r>
      <w:r>
        <w:rPr>
          <w:noProof/>
        </w:rPr>
        <w:t>1</w:t>
      </w:r>
      <w:r w:rsidRPr="00B14931">
        <w:t>: Porovnání nákladů a přínosů</w:t>
      </w:r>
    </w:p>
    <w:tbl>
      <w:tblPr>
        <w:tblW w:w="9062" w:type="dxa"/>
        <w:tblCellMar>
          <w:left w:w="70" w:type="dxa"/>
          <w:right w:w="70" w:type="dxa"/>
        </w:tblCellMar>
        <w:tblLook w:val="04A0"/>
      </w:tblPr>
      <w:tblGrid>
        <w:gridCol w:w="1270"/>
        <w:gridCol w:w="2607"/>
        <w:gridCol w:w="1238"/>
        <w:gridCol w:w="2506"/>
        <w:gridCol w:w="1441"/>
      </w:tblGrid>
      <w:tr w14:paraId="13D2D4A2" w14:textId="77777777" w:rsidTr="00FC0415">
        <w:tblPrEx>
          <w:tblW w:w="9062" w:type="dxa"/>
          <w:tblCellMar>
            <w:left w:w="70" w:type="dxa"/>
            <w:right w:w="70" w:type="dxa"/>
          </w:tblCellMar>
          <w:tblLook w:val="04A0"/>
        </w:tblPrEx>
        <w:trPr>
          <w:trHeight w:val="620"/>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807" w:rsidRPr="0087335F" w:rsidP="000B40FC" w14:paraId="786B2B39" w14:textId="77777777">
            <w:pPr>
              <w:keepNext/>
              <w:spacing w:line="240" w:lineRule="auto"/>
              <w:jc w:val="center"/>
              <w:rPr>
                <w:rFonts w:cs="Arial"/>
                <w:b/>
                <w:bCs/>
                <w:color w:val="000000"/>
                <w:sz w:val="20"/>
                <w:szCs w:val="20"/>
                <w:lang w:eastAsia="cs-CZ"/>
              </w:rPr>
            </w:pPr>
            <w:r w:rsidRPr="0087335F">
              <w:rPr>
                <w:rFonts w:cs="Arial"/>
                <w:b/>
                <w:bCs/>
                <w:color w:val="000000"/>
                <w:sz w:val="20"/>
                <w:szCs w:val="20"/>
                <w:lang w:eastAsia="cs-CZ"/>
              </w:rPr>
              <w:t>Varianta</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rsidR="00464807" w:rsidRPr="0087335F" w:rsidP="000B40FC" w14:paraId="42662171" w14:textId="77777777">
            <w:pPr>
              <w:keepNext/>
              <w:spacing w:line="240" w:lineRule="auto"/>
              <w:jc w:val="center"/>
              <w:rPr>
                <w:rFonts w:cs="Arial"/>
                <w:b/>
                <w:bCs/>
                <w:color w:val="000000"/>
                <w:sz w:val="20"/>
                <w:szCs w:val="20"/>
                <w:lang w:eastAsia="cs-CZ"/>
              </w:rPr>
            </w:pPr>
            <w:r w:rsidRPr="0087335F">
              <w:rPr>
                <w:rFonts w:cs="Arial"/>
                <w:b/>
                <w:bCs/>
                <w:color w:val="000000"/>
                <w:sz w:val="20"/>
                <w:szCs w:val="20"/>
                <w:lang w:eastAsia="cs-CZ"/>
              </w:rPr>
              <w:t>Přínosy</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464807" w:rsidRPr="0087335F" w:rsidP="000B40FC" w14:paraId="631DD014" w14:textId="77777777">
            <w:pPr>
              <w:keepNext/>
              <w:spacing w:line="240" w:lineRule="auto"/>
              <w:jc w:val="center"/>
              <w:rPr>
                <w:rFonts w:cs="Arial"/>
                <w:b/>
                <w:bCs/>
                <w:color w:val="000000"/>
                <w:sz w:val="20"/>
                <w:szCs w:val="20"/>
                <w:lang w:eastAsia="cs-CZ"/>
              </w:rPr>
            </w:pPr>
            <w:r w:rsidRPr="0087335F">
              <w:rPr>
                <w:rFonts w:cs="Arial"/>
                <w:b/>
                <w:bCs/>
                <w:color w:val="000000"/>
                <w:sz w:val="20"/>
                <w:szCs w:val="20"/>
                <w:lang w:eastAsia="cs-CZ"/>
              </w:rPr>
              <w:t>Hodnocení</w:t>
            </w:r>
          </w:p>
        </w:tc>
        <w:tc>
          <w:tcPr>
            <w:tcW w:w="2506" w:type="dxa"/>
            <w:tcBorders>
              <w:top w:val="single" w:sz="4" w:space="0" w:color="auto"/>
              <w:left w:val="nil"/>
              <w:bottom w:val="single" w:sz="4" w:space="0" w:color="auto"/>
              <w:right w:val="single" w:sz="4" w:space="0" w:color="auto"/>
            </w:tcBorders>
            <w:shd w:val="clear" w:color="auto" w:fill="auto"/>
            <w:noWrap/>
            <w:vAlign w:val="center"/>
            <w:hideMark/>
          </w:tcPr>
          <w:p w:rsidR="00464807" w:rsidRPr="0087335F" w:rsidP="000B40FC" w14:paraId="09C47BEA" w14:textId="77777777">
            <w:pPr>
              <w:keepNext/>
              <w:spacing w:line="240" w:lineRule="auto"/>
              <w:jc w:val="center"/>
              <w:rPr>
                <w:rFonts w:cs="Arial"/>
                <w:b/>
                <w:bCs/>
                <w:color w:val="000000"/>
                <w:sz w:val="20"/>
                <w:szCs w:val="20"/>
                <w:lang w:eastAsia="cs-CZ"/>
              </w:rPr>
            </w:pPr>
            <w:r w:rsidRPr="0087335F">
              <w:rPr>
                <w:rFonts w:cs="Arial"/>
                <w:b/>
                <w:bCs/>
                <w:color w:val="000000"/>
                <w:sz w:val="20"/>
                <w:szCs w:val="20"/>
                <w:lang w:eastAsia="cs-CZ"/>
              </w:rPr>
              <w:t>Náklady</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464807" w:rsidRPr="0087335F" w:rsidP="000B40FC" w14:paraId="51D28205" w14:textId="77777777">
            <w:pPr>
              <w:keepNext/>
              <w:spacing w:line="240" w:lineRule="auto"/>
              <w:jc w:val="center"/>
              <w:rPr>
                <w:rFonts w:cs="Arial"/>
                <w:b/>
                <w:bCs/>
                <w:color w:val="000000"/>
                <w:sz w:val="20"/>
                <w:szCs w:val="20"/>
                <w:lang w:eastAsia="cs-CZ"/>
              </w:rPr>
            </w:pPr>
            <w:r w:rsidRPr="0087335F">
              <w:rPr>
                <w:rFonts w:cs="Arial"/>
                <w:b/>
                <w:bCs/>
                <w:color w:val="000000"/>
                <w:sz w:val="20"/>
                <w:szCs w:val="20"/>
                <w:lang w:eastAsia="cs-CZ"/>
              </w:rPr>
              <w:t>Hodnocení</w:t>
            </w:r>
          </w:p>
        </w:tc>
      </w:tr>
      <w:tr w14:paraId="6CFEB084" w14:textId="77777777" w:rsidTr="00FC0415">
        <w:tblPrEx>
          <w:tblW w:w="9062" w:type="dxa"/>
          <w:tblCellMar>
            <w:left w:w="70" w:type="dxa"/>
            <w:right w:w="70" w:type="dxa"/>
          </w:tblCellMar>
          <w:tblLook w:val="04A0"/>
        </w:tblPrEx>
        <w:trPr>
          <w:trHeight w:val="499"/>
        </w:trPr>
        <w:tc>
          <w:tcPr>
            <w:tcW w:w="1270" w:type="dxa"/>
            <w:vMerge w:val="restart"/>
            <w:tcBorders>
              <w:top w:val="nil"/>
              <w:left w:val="single" w:sz="4" w:space="0" w:color="auto"/>
              <w:bottom w:val="nil"/>
              <w:right w:val="single" w:sz="4" w:space="0" w:color="auto"/>
            </w:tcBorders>
            <w:shd w:val="clear" w:color="auto" w:fill="auto"/>
            <w:noWrap/>
            <w:vAlign w:val="center"/>
            <w:hideMark/>
          </w:tcPr>
          <w:p w:rsidR="00464807" w:rsidRPr="0087335F" w:rsidP="000B40FC" w14:paraId="1A340406" w14:textId="77777777">
            <w:pPr>
              <w:spacing w:line="240" w:lineRule="auto"/>
              <w:jc w:val="center"/>
              <w:rPr>
                <w:rFonts w:cs="Arial"/>
                <w:b/>
                <w:bCs/>
                <w:color w:val="000000"/>
                <w:sz w:val="20"/>
                <w:szCs w:val="20"/>
                <w:lang w:eastAsia="cs-CZ"/>
              </w:rPr>
            </w:pPr>
            <w:r w:rsidRPr="0087335F">
              <w:rPr>
                <w:rFonts w:cs="Arial"/>
                <w:b/>
                <w:bCs/>
                <w:color w:val="000000"/>
                <w:sz w:val="20"/>
                <w:szCs w:val="20"/>
                <w:lang w:eastAsia="cs-CZ"/>
              </w:rPr>
              <w:t>Varianta 0</w:t>
            </w:r>
          </w:p>
        </w:tc>
        <w:tc>
          <w:tcPr>
            <w:tcW w:w="7792" w:type="dxa"/>
            <w:gridSpan w:val="4"/>
            <w:tcBorders>
              <w:top w:val="single" w:sz="4" w:space="0" w:color="auto"/>
              <w:left w:val="nil"/>
              <w:bottom w:val="single" w:sz="4" w:space="0" w:color="auto"/>
              <w:right w:val="single" w:sz="4" w:space="0" w:color="000000"/>
            </w:tcBorders>
            <w:shd w:val="clear" w:color="auto" w:fill="auto"/>
            <w:vAlign w:val="center"/>
            <w:hideMark/>
          </w:tcPr>
          <w:p w:rsidR="00464807" w:rsidRPr="0087335F" w:rsidP="000B40FC" w14:paraId="588B245C" w14:textId="77777777">
            <w:pPr>
              <w:spacing w:line="240" w:lineRule="auto"/>
              <w:jc w:val="center"/>
              <w:rPr>
                <w:rFonts w:cs="Arial"/>
                <w:b/>
                <w:bCs/>
                <w:color w:val="000000"/>
                <w:sz w:val="20"/>
                <w:szCs w:val="20"/>
                <w:lang w:eastAsia="cs-CZ"/>
              </w:rPr>
            </w:pPr>
            <w:r w:rsidRPr="0087335F">
              <w:rPr>
                <w:rFonts w:cs="Arial"/>
                <w:b/>
                <w:bCs/>
                <w:color w:val="000000"/>
                <w:sz w:val="20"/>
                <w:szCs w:val="20"/>
                <w:lang w:eastAsia="cs-CZ"/>
              </w:rPr>
              <w:t>Státní rozpočet a ostatní veřejné rozpočty</w:t>
            </w:r>
          </w:p>
        </w:tc>
      </w:tr>
      <w:tr w14:paraId="588DCC52" w14:textId="77777777" w:rsidTr="00FC0415">
        <w:tblPrEx>
          <w:tblW w:w="9062" w:type="dxa"/>
          <w:tblCellMar>
            <w:left w:w="70" w:type="dxa"/>
            <w:right w:w="70" w:type="dxa"/>
          </w:tblCellMar>
          <w:tblLook w:val="04A0"/>
        </w:tblPrEx>
        <w:trPr>
          <w:trHeight w:val="385"/>
        </w:trPr>
        <w:tc>
          <w:tcPr>
            <w:tcW w:w="1270" w:type="dxa"/>
            <w:vMerge/>
            <w:tcBorders>
              <w:top w:val="nil"/>
              <w:left w:val="single" w:sz="4" w:space="0" w:color="auto"/>
              <w:bottom w:val="nil"/>
              <w:right w:val="single" w:sz="4" w:space="0" w:color="auto"/>
            </w:tcBorders>
            <w:vAlign w:val="center"/>
            <w:hideMark/>
          </w:tcPr>
          <w:p w:rsidR="00464807" w:rsidRPr="0087335F" w:rsidP="000B40FC" w14:paraId="01C6A2A8" w14:textId="77777777">
            <w:pPr>
              <w:spacing w:line="240" w:lineRule="auto"/>
              <w:jc w:val="left"/>
              <w:rPr>
                <w:rFonts w:cs="Arial"/>
                <w:b/>
                <w:bCs/>
                <w:color w:val="000000"/>
                <w:sz w:val="20"/>
                <w:szCs w:val="20"/>
                <w:lang w:eastAsia="cs-CZ"/>
              </w:rPr>
            </w:pPr>
          </w:p>
        </w:tc>
        <w:tc>
          <w:tcPr>
            <w:tcW w:w="2607" w:type="dxa"/>
            <w:tcBorders>
              <w:top w:val="nil"/>
              <w:left w:val="nil"/>
              <w:bottom w:val="single" w:sz="4" w:space="0" w:color="auto"/>
              <w:right w:val="single" w:sz="4" w:space="0" w:color="auto"/>
            </w:tcBorders>
            <w:shd w:val="clear" w:color="auto" w:fill="auto"/>
            <w:vAlign w:val="center"/>
          </w:tcPr>
          <w:p w:rsidR="00464807" w:rsidRPr="0087335F" w:rsidP="000B40FC" w14:paraId="3C5AAD52" w14:textId="77777777">
            <w:pPr>
              <w:spacing w:line="240" w:lineRule="auto"/>
              <w:jc w:val="center"/>
              <w:rPr>
                <w:rFonts w:cs="Arial"/>
                <w:color w:val="000000"/>
                <w:sz w:val="20"/>
                <w:szCs w:val="20"/>
                <w:lang w:eastAsia="cs-CZ"/>
              </w:rPr>
            </w:pPr>
          </w:p>
        </w:tc>
        <w:tc>
          <w:tcPr>
            <w:tcW w:w="1238" w:type="dxa"/>
            <w:tcBorders>
              <w:top w:val="nil"/>
              <w:left w:val="nil"/>
              <w:bottom w:val="single" w:sz="4" w:space="0" w:color="auto"/>
              <w:right w:val="single" w:sz="4" w:space="0" w:color="auto"/>
            </w:tcBorders>
            <w:shd w:val="clear" w:color="auto" w:fill="auto"/>
            <w:vAlign w:val="center"/>
          </w:tcPr>
          <w:p w:rsidR="00464807" w:rsidRPr="0087335F" w:rsidP="000B40FC" w14:paraId="7DB7F5A9" w14:textId="77777777">
            <w:pPr>
              <w:spacing w:line="240" w:lineRule="auto"/>
              <w:jc w:val="center"/>
              <w:rPr>
                <w:rFonts w:cs="Arial"/>
                <w:color w:val="000000"/>
                <w:sz w:val="20"/>
                <w:szCs w:val="20"/>
                <w:lang w:eastAsia="cs-CZ"/>
              </w:rPr>
            </w:pPr>
          </w:p>
        </w:tc>
        <w:tc>
          <w:tcPr>
            <w:tcW w:w="2506" w:type="dxa"/>
            <w:tcBorders>
              <w:top w:val="nil"/>
              <w:left w:val="nil"/>
              <w:bottom w:val="single" w:sz="4" w:space="0" w:color="auto"/>
              <w:right w:val="single" w:sz="4" w:space="0" w:color="auto"/>
            </w:tcBorders>
            <w:shd w:val="clear" w:color="auto" w:fill="auto"/>
            <w:vAlign w:val="center"/>
          </w:tcPr>
          <w:p w:rsidR="00464807" w:rsidRPr="00C8102B" w:rsidP="00520A53" w14:paraId="15584131" w14:textId="68CFA0AB">
            <w:pPr>
              <w:spacing w:line="240" w:lineRule="auto"/>
              <w:jc w:val="center"/>
              <w:rPr>
                <w:rFonts w:cs="Arial"/>
                <w:color w:val="000000"/>
                <w:sz w:val="20"/>
                <w:szCs w:val="20"/>
                <w:highlight w:val="yellow"/>
                <w:lang w:eastAsia="cs-CZ"/>
              </w:rPr>
            </w:pPr>
            <w:r>
              <w:rPr>
                <w:rFonts w:cs="Arial"/>
                <w:color w:val="000000"/>
                <w:sz w:val="20"/>
                <w:szCs w:val="20"/>
                <w:lang w:eastAsia="cs-CZ"/>
              </w:rPr>
              <w:t xml:space="preserve">Nesplnění transpoziční povinnosti – riziko </w:t>
            </w:r>
            <w:r>
              <w:rPr>
                <w:rFonts w:cs="Arial"/>
                <w:color w:val="000000"/>
                <w:sz w:val="20"/>
                <w:szCs w:val="20"/>
                <w:lang w:eastAsia="cs-CZ"/>
              </w:rPr>
              <w:t>infringementu</w:t>
            </w:r>
          </w:p>
        </w:tc>
        <w:tc>
          <w:tcPr>
            <w:tcW w:w="1441" w:type="dxa"/>
            <w:tcBorders>
              <w:top w:val="nil"/>
              <w:left w:val="nil"/>
              <w:bottom w:val="single" w:sz="4" w:space="0" w:color="auto"/>
              <w:right w:val="single" w:sz="4" w:space="0" w:color="auto"/>
            </w:tcBorders>
            <w:shd w:val="clear" w:color="auto" w:fill="auto"/>
            <w:vAlign w:val="center"/>
          </w:tcPr>
          <w:p w:rsidR="00464807" w:rsidRPr="00C8102B" w:rsidP="005F075C" w14:paraId="75C9C4BF" w14:textId="2770888D">
            <w:pPr>
              <w:spacing w:line="240" w:lineRule="auto"/>
              <w:jc w:val="center"/>
              <w:rPr>
                <w:rFonts w:cs="Arial"/>
                <w:color w:val="000000"/>
                <w:sz w:val="20"/>
                <w:szCs w:val="20"/>
                <w:highlight w:val="yellow"/>
                <w:lang w:eastAsia="cs-CZ"/>
              </w:rPr>
            </w:pPr>
            <w:r>
              <w:rPr>
                <w:rFonts w:cs="Arial"/>
                <w:color w:val="000000"/>
                <w:sz w:val="20"/>
                <w:szCs w:val="20"/>
                <w:lang w:eastAsia="cs-CZ"/>
              </w:rPr>
              <w:t>Pokuty v řádech mil EUR</w:t>
            </w:r>
          </w:p>
        </w:tc>
      </w:tr>
      <w:tr w14:paraId="7457C5A9" w14:textId="77777777" w:rsidTr="00FC0415">
        <w:tblPrEx>
          <w:tblW w:w="9062" w:type="dxa"/>
          <w:tblCellMar>
            <w:left w:w="70" w:type="dxa"/>
            <w:right w:w="70" w:type="dxa"/>
          </w:tblCellMar>
          <w:tblLook w:val="04A0"/>
        </w:tblPrEx>
        <w:trPr>
          <w:trHeight w:val="499"/>
        </w:trPr>
        <w:tc>
          <w:tcPr>
            <w:tcW w:w="1270" w:type="dxa"/>
            <w:vMerge/>
            <w:tcBorders>
              <w:top w:val="nil"/>
              <w:left w:val="single" w:sz="4" w:space="0" w:color="auto"/>
              <w:bottom w:val="nil"/>
              <w:right w:val="single" w:sz="4" w:space="0" w:color="auto"/>
            </w:tcBorders>
            <w:vAlign w:val="center"/>
            <w:hideMark/>
          </w:tcPr>
          <w:p w:rsidR="00464807" w:rsidRPr="0087335F" w:rsidP="000B40FC" w14:paraId="52E44639" w14:textId="77777777">
            <w:pPr>
              <w:spacing w:line="240" w:lineRule="auto"/>
              <w:jc w:val="left"/>
              <w:rPr>
                <w:rFonts w:cs="Arial"/>
                <w:b/>
                <w:bCs/>
                <w:color w:val="000000"/>
                <w:sz w:val="20"/>
                <w:szCs w:val="20"/>
                <w:lang w:eastAsia="cs-CZ"/>
              </w:rPr>
            </w:pPr>
          </w:p>
        </w:tc>
        <w:tc>
          <w:tcPr>
            <w:tcW w:w="7792" w:type="dxa"/>
            <w:gridSpan w:val="4"/>
            <w:tcBorders>
              <w:top w:val="single" w:sz="4" w:space="0" w:color="auto"/>
              <w:left w:val="nil"/>
              <w:bottom w:val="single" w:sz="4" w:space="0" w:color="auto"/>
              <w:right w:val="single" w:sz="4" w:space="0" w:color="000000"/>
            </w:tcBorders>
            <w:shd w:val="clear" w:color="auto" w:fill="auto"/>
            <w:vAlign w:val="center"/>
            <w:hideMark/>
          </w:tcPr>
          <w:p w:rsidR="00464807" w:rsidRPr="0087335F" w:rsidP="000B40FC" w14:paraId="1A66C9C8" w14:textId="77777777">
            <w:pPr>
              <w:spacing w:line="240" w:lineRule="auto"/>
              <w:jc w:val="center"/>
              <w:rPr>
                <w:rFonts w:cs="Arial"/>
                <w:b/>
                <w:bCs/>
                <w:color w:val="000000"/>
                <w:sz w:val="20"/>
                <w:szCs w:val="20"/>
                <w:lang w:eastAsia="cs-CZ"/>
              </w:rPr>
            </w:pPr>
            <w:r w:rsidRPr="0087335F">
              <w:rPr>
                <w:rFonts w:cs="Arial"/>
                <w:b/>
                <w:bCs/>
                <w:color w:val="000000"/>
                <w:sz w:val="20"/>
                <w:szCs w:val="20"/>
                <w:lang w:eastAsia="cs-CZ"/>
              </w:rPr>
              <w:t>Podnikatelské prostředí</w:t>
            </w:r>
          </w:p>
        </w:tc>
      </w:tr>
      <w:tr w14:paraId="232E9EE4" w14:textId="77777777" w:rsidTr="00FC0415">
        <w:tblPrEx>
          <w:tblW w:w="9062" w:type="dxa"/>
          <w:tblCellMar>
            <w:left w:w="70" w:type="dxa"/>
            <w:right w:w="70" w:type="dxa"/>
          </w:tblCellMar>
          <w:tblLook w:val="04A0"/>
        </w:tblPrEx>
        <w:trPr>
          <w:trHeight w:val="392"/>
        </w:trPr>
        <w:tc>
          <w:tcPr>
            <w:tcW w:w="1270" w:type="dxa"/>
            <w:vMerge/>
            <w:tcBorders>
              <w:top w:val="nil"/>
              <w:left w:val="single" w:sz="4" w:space="0" w:color="auto"/>
              <w:bottom w:val="nil"/>
              <w:right w:val="single" w:sz="4" w:space="0" w:color="auto"/>
            </w:tcBorders>
            <w:vAlign w:val="center"/>
          </w:tcPr>
          <w:p w:rsidR="00464807" w:rsidRPr="0087335F" w:rsidP="000B40FC" w14:paraId="6646D396" w14:textId="77777777">
            <w:pPr>
              <w:spacing w:line="240" w:lineRule="auto"/>
              <w:jc w:val="left"/>
              <w:rPr>
                <w:rFonts w:cs="Arial"/>
                <w:b/>
                <w:bCs/>
                <w:color w:val="000000"/>
                <w:sz w:val="20"/>
                <w:szCs w:val="20"/>
                <w:lang w:eastAsia="cs-CZ"/>
              </w:rPr>
            </w:pPr>
          </w:p>
        </w:tc>
        <w:tc>
          <w:tcPr>
            <w:tcW w:w="2607" w:type="dxa"/>
            <w:tcBorders>
              <w:top w:val="nil"/>
              <w:left w:val="nil"/>
              <w:bottom w:val="single" w:sz="4" w:space="0" w:color="auto"/>
              <w:right w:val="single" w:sz="4" w:space="0" w:color="auto"/>
            </w:tcBorders>
            <w:shd w:val="clear" w:color="auto" w:fill="auto"/>
            <w:vAlign w:val="center"/>
          </w:tcPr>
          <w:p w:rsidR="00464807" w:rsidP="000B40FC" w14:paraId="4630109C" w14:textId="77777777">
            <w:pPr>
              <w:spacing w:line="240" w:lineRule="auto"/>
              <w:jc w:val="center"/>
              <w:rPr>
                <w:rFonts w:cs="Arial"/>
                <w:color w:val="000000"/>
                <w:sz w:val="20"/>
                <w:szCs w:val="20"/>
                <w:lang w:eastAsia="cs-CZ"/>
              </w:rPr>
            </w:pPr>
          </w:p>
        </w:tc>
        <w:tc>
          <w:tcPr>
            <w:tcW w:w="1238" w:type="dxa"/>
            <w:tcBorders>
              <w:top w:val="nil"/>
              <w:left w:val="nil"/>
              <w:bottom w:val="single" w:sz="4" w:space="0" w:color="auto"/>
              <w:right w:val="single" w:sz="4" w:space="0" w:color="auto"/>
            </w:tcBorders>
            <w:shd w:val="clear" w:color="auto" w:fill="auto"/>
            <w:vAlign w:val="center"/>
          </w:tcPr>
          <w:p w:rsidR="00464807" w:rsidP="000B40FC" w14:paraId="3CFA18D3" w14:textId="77777777">
            <w:pPr>
              <w:spacing w:line="240" w:lineRule="auto"/>
              <w:jc w:val="center"/>
              <w:rPr>
                <w:rFonts w:cs="Arial"/>
                <w:color w:val="000000"/>
                <w:sz w:val="20"/>
                <w:szCs w:val="20"/>
                <w:lang w:eastAsia="cs-CZ"/>
              </w:rPr>
            </w:pPr>
          </w:p>
        </w:tc>
        <w:tc>
          <w:tcPr>
            <w:tcW w:w="2506" w:type="dxa"/>
            <w:tcBorders>
              <w:top w:val="nil"/>
              <w:left w:val="nil"/>
              <w:bottom w:val="single" w:sz="4" w:space="0" w:color="auto"/>
              <w:right w:val="single" w:sz="4" w:space="0" w:color="auto"/>
            </w:tcBorders>
            <w:shd w:val="clear" w:color="auto" w:fill="auto"/>
            <w:vAlign w:val="center"/>
          </w:tcPr>
          <w:p w:rsidR="00464807" w:rsidP="00FC0415" w14:paraId="61971C8F" w14:textId="144806A0">
            <w:pPr>
              <w:spacing w:line="240" w:lineRule="auto"/>
              <w:jc w:val="center"/>
              <w:rPr>
                <w:rFonts w:cs="Arial"/>
                <w:color w:val="000000"/>
                <w:sz w:val="20"/>
                <w:szCs w:val="20"/>
                <w:lang w:eastAsia="cs-CZ"/>
              </w:rPr>
            </w:pPr>
            <w:r>
              <w:rPr>
                <w:rFonts w:cs="Arial"/>
                <w:color w:val="000000"/>
                <w:sz w:val="20"/>
                <w:szCs w:val="20"/>
                <w:lang w:eastAsia="cs-CZ"/>
              </w:rPr>
              <w:t xml:space="preserve">Výrobci si evidenci vyprodukovaných </w:t>
            </w:r>
            <w:r w:rsidR="007F4C79">
              <w:rPr>
                <w:rFonts w:cs="Arial"/>
                <w:color w:val="000000"/>
                <w:sz w:val="20"/>
                <w:szCs w:val="20"/>
                <w:lang w:eastAsia="cs-CZ"/>
              </w:rPr>
              <w:t>obal</w:t>
            </w:r>
            <w:r>
              <w:rPr>
                <w:rFonts w:cs="Arial"/>
                <w:color w:val="000000"/>
                <w:sz w:val="20"/>
                <w:szCs w:val="20"/>
                <w:lang w:eastAsia="cs-CZ"/>
              </w:rPr>
              <w:t>ů vedou i v současnosti (bez zákonné povinnosti)</w:t>
            </w:r>
          </w:p>
        </w:tc>
        <w:tc>
          <w:tcPr>
            <w:tcW w:w="1441" w:type="dxa"/>
            <w:tcBorders>
              <w:top w:val="nil"/>
              <w:left w:val="nil"/>
              <w:bottom w:val="single" w:sz="4" w:space="0" w:color="auto"/>
              <w:right w:val="single" w:sz="4" w:space="0" w:color="auto"/>
            </w:tcBorders>
            <w:shd w:val="clear" w:color="auto" w:fill="auto"/>
            <w:vAlign w:val="center"/>
          </w:tcPr>
          <w:p w:rsidR="00464807" w:rsidP="000B40FC" w14:paraId="7D2F85D8" w14:textId="5E6A53DE">
            <w:pPr>
              <w:spacing w:line="240" w:lineRule="auto"/>
              <w:jc w:val="center"/>
              <w:rPr>
                <w:rFonts w:cs="Arial"/>
                <w:color w:val="000000"/>
                <w:sz w:val="20"/>
                <w:szCs w:val="20"/>
                <w:lang w:eastAsia="cs-CZ"/>
              </w:rPr>
            </w:pPr>
            <w:r>
              <w:rPr>
                <w:rFonts w:cs="Arial"/>
                <w:color w:val="000000"/>
                <w:sz w:val="20"/>
                <w:szCs w:val="20"/>
                <w:lang w:eastAsia="cs-CZ"/>
              </w:rPr>
              <w:t>Desítky tis. Kč/rok</w:t>
            </w:r>
          </w:p>
        </w:tc>
      </w:tr>
      <w:tr w14:paraId="764D1655" w14:textId="77777777" w:rsidTr="00FC0415">
        <w:tblPrEx>
          <w:tblW w:w="9062" w:type="dxa"/>
          <w:tblCellMar>
            <w:left w:w="70" w:type="dxa"/>
            <w:right w:w="70" w:type="dxa"/>
          </w:tblCellMar>
          <w:tblLook w:val="04A0"/>
        </w:tblPrEx>
        <w:trPr>
          <w:trHeight w:val="351"/>
        </w:trPr>
        <w:tc>
          <w:tcPr>
            <w:tcW w:w="1270" w:type="dxa"/>
            <w:tcBorders>
              <w:top w:val="nil"/>
              <w:left w:val="single" w:sz="4" w:space="0" w:color="auto"/>
              <w:bottom w:val="nil"/>
              <w:right w:val="single" w:sz="4" w:space="0" w:color="auto"/>
            </w:tcBorders>
            <w:vAlign w:val="center"/>
          </w:tcPr>
          <w:p w:rsidR="00464807" w:rsidRPr="0087335F" w:rsidP="000B40FC" w14:paraId="2EBB9DA9" w14:textId="77777777">
            <w:pPr>
              <w:spacing w:line="240" w:lineRule="auto"/>
              <w:jc w:val="left"/>
              <w:rPr>
                <w:rFonts w:cs="Arial"/>
                <w:b/>
                <w:bCs/>
                <w:color w:val="000000"/>
                <w:sz w:val="20"/>
                <w:szCs w:val="20"/>
                <w:lang w:eastAsia="cs-CZ"/>
              </w:rPr>
            </w:pPr>
          </w:p>
        </w:tc>
        <w:tc>
          <w:tcPr>
            <w:tcW w:w="7792" w:type="dxa"/>
            <w:gridSpan w:val="4"/>
            <w:tcBorders>
              <w:top w:val="nil"/>
              <w:left w:val="nil"/>
              <w:bottom w:val="single" w:sz="4" w:space="0" w:color="auto"/>
              <w:right w:val="single" w:sz="4" w:space="0" w:color="auto"/>
            </w:tcBorders>
            <w:shd w:val="clear" w:color="auto" w:fill="auto"/>
            <w:vAlign w:val="center"/>
          </w:tcPr>
          <w:p w:rsidR="00464807" w:rsidRPr="006C6EAE" w:rsidP="000B40FC" w14:paraId="6E9C1E8E" w14:textId="77777777">
            <w:pPr>
              <w:spacing w:line="240" w:lineRule="auto"/>
              <w:jc w:val="center"/>
              <w:rPr>
                <w:rFonts w:cs="Arial"/>
                <w:color w:val="000000"/>
                <w:sz w:val="20"/>
                <w:szCs w:val="20"/>
                <w:lang w:eastAsia="cs-CZ"/>
              </w:rPr>
            </w:pPr>
            <w:r w:rsidRPr="0087335F">
              <w:rPr>
                <w:rFonts w:cs="Arial"/>
                <w:b/>
                <w:bCs/>
                <w:color w:val="000000"/>
                <w:sz w:val="20"/>
                <w:szCs w:val="20"/>
                <w:lang w:eastAsia="cs-CZ"/>
              </w:rPr>
              <w:t>Životní prostředí</w:t>
            </w:r>
          </w:p>
        </w:tc>
      </w:tr>
      <w:tr w14:paraId="2820C176" w14:textId="77777777" w:rsidTr="00247521">
        <w:tblPrEx>
          <w:tblW w:w="9062" w:type="dxa"/>
          <w:tblCellMar>
            <w:left w:w="70" w:type="dxa"/>
            <w:right w:w="70" w:type="dxa"/>
          </w:tblCellMar>
          <w:tblLook w:val="04A0"/>
        </w:tblPrEx>
        <w:trPr>
          <w:trHeight w:val="369"/>
        </w:trPr>
        <w:tc>
          <w:tcPr>
            <w:tcW w:w="1270" w:type="dxa"/>
            <w:tcBorders>
              <w:top w:val="nil"/>
              <w:left w:val="single" w:sz="4" w:space="0" w:color="auto"/>
              <w:bottom w:val="nil"/>
              <w:right w:val="single" w:sz="4" w:space="0" w:color="auto"/>
            </w:tcBorders>
            <w:vAlign w:val="center"/>
          </w:tcPr>
          <w:p w:rsidR="00464807" w:rsidRPr="0087335F" w:rsidP="000B40FC" w14:paraId="065EB8B0" w14:textId="77777777">
            <w:pPr>
              <w:spacing w:line="240" w:lineRule="auto"/>
              <w:jc w:val="left"/>
              <w:rPr>
                <w:rFonts w:cs="Arial"/>
                <w:b/>
                <w:bCs/>
                <w:color w:val="000000"/>
                <w:sz w:val="20"/>
                <w:szCs w:val="20"/>
                <w:lang w:eastAsia="cs-CZ"/>
              </w:rPr>
            </w:pPr>
          </w:p>
        </w:tc>
        <w:tc>
          <w:tcPr>
            <w:tcW w:w="2607" w:type="dxa"/>
            <w:tcBorders>
              <w:top w:val="nil"/>
              <w:left w:val="nil"/>
              <w:bottom w:val="single" w:sz="4" w:space="0" w:color="auto"/>
              <w:right w:val="single" w:sz="4" w:space="0" w:color="auto"/>
            </w:tcBorders>
            <w:shd w:val="clear" w:color="auto" w:fill="auto"/>
            <w:vAlign w:val="center"/>
          </w:tcPr>
          <w:p w:rsidR="00464807" w:rsidP="000B40FC" w14:paraId="7ADFEA83" w14:textId="77777777">
            <w:pPr>
              <w:spacing w:line="240" w:lineRule="auto"/>
              <w:jc w:val="center"/>
              <w:rPr>
                <w:rFonts w:cs="Arial"/>
                <w:sz w:val="20"/>
                <w:szCs w:val="20"/>
              </w:rPr>
            </w:pPr>
          </w:p>
        </w:tc>
        <w:tc>
          <w:tcPr>
            <w:tcW w:w="1238" w:type="dxa"/>
            <w:tcBorders>
              <w:top w:val="nil"/>
              <w:left w:val="nil"/>
              <w:bottom w:val="single" w:sz="4" w:space="0" w:color="auto"/>
              <w:right w:val="single" w:sz="4" w:space="0" w:color="auto"/>
            </w:tcBorders>
            <w:shd w:val="clear" w:color="auto" w:fill="auto"/>
            <w:noWrap/>
            <w:vAlign w:val="center"/>
          </w:tcPr>
          <w:p w:rsidR="00464807" w:rsidP="000B40FC" w14:paraId="7B3494BA" w14:textId="77777777">
            <w:pPr>
              <w:spacing w:line="240" w:lineRule="auto"/>
              <w:jc w:val="center"/>
              <w:rPr>
                <w:rFonts w:cs="Arial"/>
                <w:color w:val="000000"/>
                <w:sz w:val="20"/>
                <w:szCs w:val="20"/>
                <w:lang w:eastAsia="cs-CZ"/>
              </w:rPr>
            </w:pPr>
          </w:p>
        </w:tc>
        <w:tc>
          <w:tcPr>
            <w:tcW w:w="2506" w:type="dxa"/>
            <w:tcBorders>
              <w:top w:val="nil"/>
              <w:left w:val="nil"/>
              <w:bottom w:val="single" w:sz="4" w:space="0" w:color="auto"/>
              <w:right w:val="single" w:sz="4" w:space="0" w:color="auto"/>
            </w:tcBorders>
            <w:shd w:val="clear" w:color="auto" w:fill="auto"/>
            <w:vAlign w:val="center"/>
          </w:tcPr>
          <w:p w:rsidR="00464807" w:rsidRPr="00E94D07" w:rsidP="000B40FC" w14:paraId="2B3AAE90" w14:textId="30F6744D">
            <w:pPr>
              <w:spacing w:line="240" w:lineRule="auto"/>
              <w:jc w:val="left"/>
              <w:rPr>
                <w:rFonts w:cs="Arial"/>
                <w:color w:val="000000"/>
                <w:sz w:val="20"/>
                <w:szCs w:val="20"/>
                <w:lang w:eastAsia="cs-CZ"/>
              </w:rPr>
            </w:pPr>
          </w:p>
        </w:tc>
        <w:tc>
          <w:tcPr>
            <w:tcW w:w="1441" w:type="dxa"/>
            <w:tcBorders>
              <w:top w:val="nil"/>
              <w:left w:val="nil"/>
              <w:bottom w:val="single" w:sz="4" w:space="0" w:color="auto"/>
              <w:right w:val="single" w:sz="4" w:space="0" w:color="auto"/>
            </w:tcBorders>
            <w:shd w:val="clear" w:color="auto" w:fill="auto"/>
            <w:noWrap/>
            <w:vAlign w:val="center"/>
          </w:tcPr>
          <w:p w:rsidR="00464807" w:rsidRPr="006C6EAE" w:rsidP="000B40FC" w14:paraId="0547A20F" w14:textId="5828D168">
            <w:pPr>
              <w:spacing w:line="240" w:lineRule="auto"/>
              <w:jc w:val="center"/>
              <w:rPr>
                <w:rFonts w:cs="Arial"/>
                <w:color w:val="000000"/>
                <w:sz w:val="20"/>
                <w:szCs w:val="20"/>
                <w:lang w:eastAsia="cs-CZ"/>
              </w:rPr>
            </w:pPr>
          </w:p>
        </w:tc>
      </w:tr>
      <w:tr w14:paraId="49A57535" w14:textId="77777777" w:rsidTr="00FC0415">
        <w:tblPrEx>
          <w:tblW w:w="9062" w:type="dxa"/>
          <w:tblCellMar>
            <w:left w:w="70" w:type="dxa"/>
            <w:right w:w="70" w:type="dxa"/>
          </w:tblCellMar>
          <w:tblLook w:val="04A0"/>
        </w:tblPrEx>
        <w:trPr>
          <w:trHeight w:val="499"/>
        </w:trPr>
        <w:tc>
          <w:tcPr>
            <w:tcW w:w="1270" w:type="dxa"/>
            <w:vMerge w:val="restart"/>
            <w:tcBorders>
              <w:top w:val="single" w:sz="4" w:space="0" w:color="auto"/>
              <w:left w:val="single" w:sz="4" w:space="0" w:color="auto"/>
              <w:right w:val="single" w:sz="4" w:space="0" w:color="auto"/>
            </w:tcBorders>
            <w:shd w:val="clear" w:color="auto" w:fill="auto"/>
            <w:noWrap/>
            <w:vAlign w:val="center"/>
            <w:hideMark/>
          </w:tcPr>
          <w:p w:rsidR="00464807" w:rsidRPr="0087335F" w:rsidP="000B40FC" w14:paraId="0BAAA58F" w14:textId="77777777">
            <w:pPr>
              <w:spacing w:line="240" w:lineRule="auto"/>
              <w:jc w:val="center"/>
              <w:rPr>
                <w:rFonts w:cs="Arial"/>
                <w:b/>
                <w:bCs/>
                <w:color w:val="000000"/>
                <w:sz w:val="20"/>
                <w:szCs w:val="20"/>
                <w:lang w:eastAsia="cs-CZ"/>
              </w:rPr>
            </w:pPr>
            <w:r w:rsidRPr="0087335F">
              <w:rPr>
                <w:rFonts w:cs="Arial"/>
                <w:b/>
                <w:bCs/>
                <w:color w:val="000000"/>
                <w:sz w:val="20"/>
                <w:szCs w:val="20"/>
                <w:lang w:eastAsia="cs-CZ"/>
              </w:rPr>
              <w:t>Varianta 1</w:t>
            </w:r>
          </w:p>
        </w:tc>
        <w:tc>
          <w:tcPr>
            <w:tcW w:w="7792" w:type="dxa"/>
            <w:gridSpan w:val="4"/>
            <w:tcBorders>
              <w:top w:val="single" w:sz="4" w:space="0" w:color="auto"/>
              <w:left w:val="nil"/>
              <w:bottom w:val="single" w:sz="4" w:space="0" w:color="auto"/>
              <w:right w:val="single" w:sz="4" w:space="0" w:color="auto"/>
            </w:tcBorders>
            <w:shd w:val="clear" w:color="auto" w:fill="auto"/>
            <w:vAlign w:val="center"/>
            <w:hideMark/>
          </w:tcPr>
          <w:p w:rsidR="00464807" w:rsidRPr="0087335F" w:rsidP="000B40FC" w14:paraId="2C9E22B0" w14:textId="77777777">
            <w:pPr>
              <w:spacing w:line="240" w:lineRule="auto"/>
              <w:jc w:val="center"/>
              <w:rPr>
                <w:rFonts w:cs="Arial"/>
                <w:b/>
                <w:bCs/>
                <w:color w:val="000000"/>
                <w:sz w:val="20"/>
                <w:szCs w:val="20"/>
                <w:lang w:eastAsia="cs-CZ"/>
              </w:rPr>
            </w:pPr>
            <w:r w:rsidRPr="0087335F">
              <w:rPr>
                <w:rFonts w:cs="Arial"/>
                <w:b/>
                <w:bCs/>
                <w:color w:val="000000"/>
                <w:sz w:val="20"/>
                <w:szCs w:val="20"/>
                <w:lang w:eastAsia="cs-CZ"/>
              </w:rPr>
              <w:t>Státní rozpočet a ostatní veřejné rozpočty</w:t>
            </w:r>
          </w:p>
        </w:tc>
      </w:tr>
      <w:tr w14:paraId="19AD4355" w14:textId="77777777" w:rsidTr="00FC0415">
        <w:tblPrEx>
          <w:tblW w:w="9062" w:type="dxa"/>
          <w:tblCellMar>
            <w:left w:w="70" w:type="dxa"/>
            <w:right w:w="70" w:type="dxa"/>
          </w:tblCellMar>
          <w:tblLook w:val="04A0"/>
        </w:tblPrEx>
        <w:trPr>
          <w:trHeight w:val="338"/>
        </w:trPr>
        <w:tc>
          <w:tcPr>
            <w:tcW w:w="1270" w:type="dxa"/>
            <w:vMerge/>
            <w:tcBorders>
              <w:left w:val="single" w:sz="4" w:space="0" w:color="auto"/>
              <w:right w:val="single" w:sz="4" w:space="0" w:color="auto"/>
            </w:tcBorders>
            <w:vAlign w:val="center"/>
            <w:hideMark/>
          </w:tcPr>
          <w:p w:rsidR="00464807" w:rsidRPr="0087335F" w:rsidP="000B40FC" w14:paraId="6B8E3FBA" w14:textId="77777777">
            <w:pPr>
              <w:spacing w:line="240" w:lineRule="auto"/>
              <w:jc w:val="left"/>
              <w:rPr>
                <w:rFonts w:cs="Arial"/>
                <w:b/>
                <w:bCs/>
                <w:color w:val="000000"/>
                <w:sz w:val="20"/>
                <w:szCs w:val="20"/>
                <w:lang w:eastAsia="cs-CZ"/>
              </w:rPr>
            </w:pPr>
          </w:p>
        </w:tc>
        <w:tc>
          <w:tcPr>
            <w:tcW w:w="2607" w:type="dxa"/>
            <w:tcBorders>
              <w:top w:val="nil"/>
              <w:left w:val="nil"/>
              <w:bottom w:val="single" w:sz="4" w:space="0" w:color="auto"/>
              <w:right w:val="single" w:sz="4" w:space="0" w:color="auto"/>
            </w:tcBorders>
            <w:shd w:val="clear" w:color="auto" w:fill="auto"/>
            <w:vAlign w:val="center"/>
          </w:tcPr>
          <w:p w:rsidR="00464807" w:rsidRPr="00C62E8C" w:rsidP="00C12949" w14:paraId="4B2FBBBB" w14:textId="2097C499">
            <w:pPr>
              <w:spacing w:line="240" w:lineRule="auto"/>
              <w:jc w:val="center"/>
              <w:rPr>
                <w:rFonts w:cs="Arial"/>
                <w:bCs/>
                <w:color w:val="000000"/>
                <w:sz w:val="20"/>
                <w:szCs w:val="20"/>
                <w:lang w:eastAsia="cs-CZ"/>
              </w:rPr>
            </w:pPr>
            <w:r>
              <w:rPr>
                <w:rFonts w:cs="Arial"/>
                <w:bCs/>
                <w:color w:val="000000"/>
                <w:sz w:val="20"/>
                <w:szCs w:val="20"/>
                <w:lang w:eastAsia="cs-CZ"/>
              </w:rPr>
              <w:t>MŽP</w:t>
            </w:r>
            <w:r w:rsidR="006A246C">
              <w:rPr>
                <w:rFonts w:cs="Arial"/>
                <w:bCs/>
                <w:color w:val="000000"/>
                <w:sz w:val="20"/>
                <w:szCs w:val="20"/>
                <w:lang w:eastAsia="cs-CZ"/>
              </w:rPr>
              <w:t xml:space="preserve"> – </w:t>
            </w:r>
            <w:r>
              <w:rPr>
                <w:rFonts w:cs="Arial"/>
                <w:bCs/>
                <w:color w:val="000000"/>
                <w:sz w:val="20"/>
                <w:szCs w:val="20"/>
                <w:lang w:eastAsia="cs-CZ"/>
              </w:rPr>
              <w:t xml:space="preserve">Data ohledně produkce vybraných plastových </w:t>
            </w:r>
            <w:r w:rsidR="007F4C79">
              <w:rPr>
                <w:rFonts w:cs="Arial"/>
                <w:bCs/>
                <w:color w:val="000000"/>
                <w:sz w:val="20"/>
                <w:szCs w:val="20"/>
                <w:lang w:eastAsia="cs-CZ"/>
              </w:rPr>
              <w:t>obalů</w:t>
            </w:r>
            <w:r>
              <w:rPr>
                <w:rFonts w:cs="Arial"/>
                <w:bCs/>
                <w:color w:val="000000"/>
                <w:sz w:val="20"/>
                <w:szCs w:val="20"/>
                <w:lang w:eastAsia="cs-CZ"/>
              </w:rPr>
              <w:t xml:space="preserve"> pro účely reportingu EU</w:t>
            </w:r>
            <w:r w:rsidR="00FC0415">
              <w:rPr>
                <w:rFonts w:cs="Arial"/>
                <w:bCs/>
                <w:color w:val="000000"/>
                <w:sz w:val="20"/>
                <w:szCs w:val="20"/>
                <w:lang w:eastAsia="cs-CZ"/>
              </w:rPr>
              <w:t>, splnění transpoziční povinnosti</w:t>
            </w:r>
          </w:p>
        </w:tc>
        <w:tc>
          <w:tcPr>
            <w:tcW w:w="1238" w:type="dxa"/>
            <w:tcBorders>
              <w:top w:val="nil"/>
              <w:left w:val="nil"/>
              <w:bottom w:val="single" w:sz="4" w:space="0" w:color="auto"/>
              <w:right w:val="single" w:sz="4" w:space="0" w:color="auto"/>
            </w:tcBorders>
            <w:shd w:val="clear" w:color="auto" w:fill="auto"/>
            <w:vAlign w:val="center"/>
          </w:tcPr>
          <w:p w:rsidR="00464807" w:rsidRPr="0087335F" w:rsidP="000B40FC" w14:paraId="0141C3D6" w14:textId="520B8AA1">
            <w:pPr>
              <w:spacing w:line="240" w:lineRule="auto"/>
              <w:jc w:val="center"/>
              <w:rPr>
                <w:rFonts w:cs="Arial"/>
                <w:b/>
                <w:bCs/>
                <w:color w:val="000000"/>
                <w:sz w:val="20"/>
                <w:szCs w:val="20"/>
                <w:lang w:eastAsia="cs-CZ"/>
              </w:rPr>
            </w:pPr>
            <w:r>
              <w:rPr>
                <w:rFonts w:cs="Arial"/>
                <w:b/>
                <w:bCs/>
                <w:color w:val="000000"/>
                <w:sz w:val="20"/>
                <w:szCs w:val="20"/>
                <w:lang w:eastAsia="cs-CZ"/>
              </w:rPr>
              <w:t>*****</w:t>
            </w:r>
          </w:p>
        </w:tc>
        <w:tc>
          <w:tcPr>
            <w:tcW w:w="2506" w:type="dxa"/>
            <w:tcBorders>
              <w:top w:val="nil"/>
              <w:left w:val="nil"/>
              <w:bottom w:val="single" w:sz="4" w:space="0" w:color="auto"/>
              <w:right w:val="single" w:sz="4" w:space="0" w:color="auto"/>
            </w:tcBorders>
            <w:shd w:val="clear" w:color="auto" w:fill="auto"/>
            <w:vAlign w:val="center"/>
          </w:tcPr>
          <w:p w:rsidR="00464807" w:rsidRPr="00432AD1" w:rsidP="000B40FC" w14:paraId="5302A67B" w14:textId="276D18A9">
            <w:pPr>
              <w:spacing w:line="240" w:lineRule="auto"/>
              <w:jc w:val="center"/>
              <w:rPr>
                <w:rFonts w:cs="Arial"/>
                <w:bCs/>
                <w:color w:val="000000"/>
                <w:sz w:val="20"/>
                <w:szCs w:val="20"/>
                <w:lang w:eastAsia="cs-CZ"/>
              </w:rPr>
            </w:pPr>
            <w:r w:rsidRPr="000913F2">
              <w:rPr>
                <w:rFonts w:cs="Arial"/>
                <w:bCs/>
                <w:color w:val="000000"/>
                <w:sz w:val="20"/>
                <w:szCs w:val="20"/>
                <w:lang w:eastAsia="cs-CZ"/>
              </w:rPr>
              <w:t>CENIA – náklady na nov</w:t>
            </w:r>
            <w:r w:rsidR="00A425A1">
              <w:rPr>
                <w:rFonts w:cs="Arial"/>
                <w:bCs/>
                <w:color w:val="000000"/>
                <w:sz w:val="20"/>
                <w:szCs w:val="20"/>
                <w:lang w:eastAsia="cs-CZ"/>
              </w:rPr>
              <w:t>ý</w:t>
            </w:r>
            <w:r w:rsidRPr="000913F2">
              <w:rPr>
                <w:rFonts w:cs="Arial"/>
                <w:bCs/>
                <w:color w:val="000000"/>
                <w:sz w:val="20"/>
                <w:szCs w:val="20"/>
                <w:lang w:eastAsia="cs-CZ"/>
              </w:rPr>
              <w:t xml:space="preserve"> formulář pro ohlašování </w:t>
            </w:r>
            <w:r w:rsidR="00921643">
              <w:rPr>
                <w:rFonts w:cs="Arial"/>
                <w:bCs/>
                <w:color w:val="000000"/>
                <w:sz w:val="20"/>
                <w:szCs w:val="20"/>
                <w:lang w:eastAsia="cs-CZ"/>
              </w:rPr>
              <w:t xml:space="preserve">množství přimíchávaného </w:t>
            </w:r>
            <w:r w:rsidR="00921643">
              <w:rPr>
                <w:rFonts w:cs="Arial"/>
                <w:bCs/>
                <w:color w:val="000000"/>
                <w:sz w:val="20"/>
                <w:szCs w:val="20"/>
                <w:lang w:eastAsia="cs-CZ"/>
              </w:rPr>
              <w:t>rPET</w:t>
            </w:r>
            <w:r w:rsidR="00921643">
              <w:rPr>
                <w:rFonts w:cs="Arial"/>
                <w:bCs/>
                <w:color w:val="000000"/>
                <w:sz w:val="20"/>
                <w:szCs w:val="20"/>
                <w:lang w:eastAsia="cs-CZ"/>
              </w:rPr>
              <w:t xml:space="preserve"> do PET lahví </w:t>
            </w:r>
            <w:r w:rsidRPr="000913F2">
              <w:rPr>
                <w:rFonts w:cs="Arial"/>
                <w:bCs/>
                <w:color w:val="000000"/>
                <w:sz w:val="20"/>
                <w:szCs w:val="20"/>
                <w:lang w:eastAsia="cs-CZ"/>
              </w:rPr>
              <w:t>prostřednictvím ISPOP (propojení s ISOH2)</w:t>
            </w:r>
          </w:p>
        </w:tc>
        <w:tc>
          <w:tcPr>
            <w:tcW w:w="1441" w:type="dxa"/>
            <w:tcBorders>
              <w:top w:val="nil"/>
              <w:left w:val="nil"/>
              <w:bottom w:val="single" w:sz="4" w:space="0" w:color="auto"/>
              <w:right w:val="single" w:sz="4" w:space="0" w:color="auto"/>
            </w:tcBorders>
            <w:shd w:val="clear" w:color="auto" w:fill="auto"/>
            <w:vAlign w:val="center"/>
          </w:tcPr>
          <w:p w:rsidR="00464807" w:rsidRPr="00830AC2" w:rsidP="000B40FC" w14:paraId="27B9B04D" w14:textId="4302954E">
            <w:pPr>
              <w:spacing w:line="240" w:lineRule="auto"/>
              <w:jc w:val="center"/>
              <w:rPr>
                <w:rFonts w:cs="Arial"/>
                <w:bCs/>
                <w:color w:val="000000"/>
                <w:sz w:val="20"/>
                <w:szCs w:val="20"/>
                <w:lang w:eastAsia="cs-CZ"/>
              </w:rPr>
            </w:pPr>
            <w:r>
              <w:rPr>
                <w:rFonts w:cs="Arial"/>
                <w:bCs/>
                <w:color w:val="000000"/>
                <w:sz w:val="20"/>
                <w:szCs w:val="20"/>
                <w:lang w:eastAsia="cs-CZ"/>
              </w:rPr>
              <w:t>Cca 500 tis.</w:t>
            </w:r>
            <w:r w:rsidR="008B4AFA">
              <w:rPr>
                <w:rFonts w:cs="Arial"/>
                <w:bCs/>
                <w:color w:val="000000"/>
                <w:sz w:val="20"/>
                <w:szCs w:val="20"/>
                <w:lang w:eastAsia="cs-CZ"/>
              </w:rPr>
              <w:t xml:space="preserve"> </w:t>
            </w:r>
            <w:r>
              <w:rPr>
                <w:rFonts w:cs="Arial"/>
                <w:bCs/>
                <w:color w:val="000000"/>
                <w:sz w:val="20"/>
                <w:szCs w:val="20"/>
                <w:lang w:eastAsia="cs-CZ"/>
              </w:rPr>
              <w:t>Kč</w:t>
            </w:r>
            <w:r w:rsidR="008B4AFA">
              <w:rPr>
                <w:rFonts w:cs="Arial"/>
                <w:bCs/>
                <w:color w:val="000000"/>
                <w:sz w:val="20"/>
                <w:szCs w:val="20"/>
                <w:lang w:eastAsia="cs-CZ"/>
              </w:rPr>
              <w:t>/formulář</w:t>
            </w:r>
          </w:p>
        </w:tc>
      </w:tr>
      <w:tr w14:paraId="33D8A3E6" w14:textId="77777777" w:rsidTr="00FC0415">
        <w:tblPrEx>
          <w:tblW w:w="9062" w:type="dxa"/>
          <w:tblCellMar>
            <w:left w:w="70" w:type="dxa"/>
            <w:right w:w="70" w:type="dxa"/>
          </w:tblCellMar>
          <w:tblLook w:val="04A0"/>
        </w:tblPrEx>
        <w:trPr>
          <w:trHeight w:val="338"/>
        </w:trPr>
        <w:tc>
          <w:tcPr>
            <w:tcW w:w="1270" w:type="dxa"/>
            <w:vMerge/>
            <w:tcBorders>
              <w:left w:val="single" w:sz="4" w:space="0" w:color="auto"/>
              <w:right w:val="single" w:sz="4" w:space="0" w:color="auto"/>
            </w:tcBorders>
            <w:vAlign w:val="center"/>
          </w:tcPr>
          <w:p w:rsidR="00464807" w:rsidRPr="0087335F" w:rsidP="000B40FC" w14:paraId="79DBF694" w14:textId="77777777">
            <w:pPr>
              <w:spacing w:line="240" w:lineRule="auto"/>
              <w:jc w:val="left"/>
              <w:rPr>
                <w:rFonts w:cs="Arial"/>
                <w:b/>
                <w:bCs/>
                <w:color w:val="000000"/>
                <w:sz w:val="20"/>
                <w:szCs w:val="20"/>
                <w:lang w:eastAsia="cs-CZ"/>
              </w:rPr>
            </w:pPr>
          </w:p>
        </w:tc>
        <w:tc>
          <w:tcPr>
            <w:tcW w:w="2607" w:type="dxa"/>
            <w:tcBorders>
              <w:top w:val="nil"/>
              <w:left w:val="nil"/>
              <w:bottom w:val="single" w:sz="4" w:space="0" w:color="auto"/>
              <w:right w:val="single" w:sz="4" w:space="0" w:color="auto"/>
            </w:tcBorders>
            <w:shd w:val="clear" w:color="auto" w:fill="auto"/>
            <w:vAlign w:val="center"/>
          </w:tcPr>
          <w:p w:rsidR="00464807" w:rsidRPr="00C62E8C" w:rsidP="000B40FC" w14:paraId="068F8561" w14:textId="77777777">
            <w:pPr>
              <w:spacing w:line="240" w:lineRule="auto"/>
              <w:jc w:val="left"/>
              <w:rPr>
                <w:rFonts w:cs="Arial"/>
                <w:bCs/>
                <w:color w:val="000000"/>
                <w:sz w:val="20"/>
                <w:szCs w:val="20"/>
                <w:lang w:eastAsia="cs-CZ"/>
              </w:rPr>
            </w:pPr>
          </w:p>
        </w:tc>
        <w:tc>
          <w:tcPr>
            <w:tcW w:w="1238" w:type="dxa"/>
            <w:tcBorders>
              <w:top w:val="nil"/>
              <w:left w:val="nil"/>
              <w:bottom w:val="single" w:sz="4" w:space="0" w:color="auto"/>
              <w:right w:val="single" w:sz="4" w:space="0" w:color="auto"/>
            </w:tcBorders>
            <w:shd w:val="clear" w:color="auto" w:fill="auto"/>
            <w:vAlign w:val="center"/>
          </w:tcPr>
          <w:p w:rsidR="00464807" w:rsidRPr="0087335F" w:rsidP="000B40FC" w14:paraId="4AFC8639" w14:textId="77777777">
            <w:pPr>
              <w:spacing w:line="240" w:lineRule="auto"/>
              <w:jc w:val="center"/>
              <w:rPr>
                <w:rFonts w:cs="Arial"/>
                <w:b/>
                <w:bCs/>
                <w:color w:val="000000"/>
                <w:sz w:val="20"/>
                <w:szCs w:val="20"/>
                <w:lang w:eastAsia="cs-CZ"/>
              </w:rPr>
            </w:pPr>
          </w:p>
        </w:tc>
        <w:tc>
          <w:tcPr>
            <w:tcW w:w="2506" w:type="dxa"/>
            <w:tcBorders>
              <w:top w:val="nil"/>
              <w:left w:val="nil"/>
              <w:bottom w:val="single" w:sz="4" w:space="0" w:color="auto"/>
              <w:right w:val="single" w:sz="4" w:space="0" w:color="auto"/>
            </w:tcBorders>
            <w:shd w:val="clear" w:color="auto" w:fill="auto"/>
            <w:vAlign w:val="center"/>
          </w:tcPr>
          <w:p w:rsidR="00464807" w:rsidP="000B40FC" w14:paraId="54B60415" w14:textId="677E1453">
            <w:pPr>
              <w:spacing w:line="240" w:lineRule="auto"/>
              <w:jc w:val="center"/>
              <w:rPr>
                <w:rFonts w:cs="Arial"/>
                <w:bCs/>
                <w:color w:val="000000"/>
                <w:sz w:val="20"/>
                <w:szCs w:val="20"/>
                <w:lang w:eastAsia="cs-CZ"/>
              </w:rPr>
            </w:pPr>
            <w:r>
              <w:rPr>
                <w:rFonts w:cs="Arial"/>
                <w:bCs/>
                <w:color w:val="000000"/>
                <w:sz w:val="20"/>
                <w:szCs w:val="20"/>
                <w:lang w:eastAsia="cs-CZ"/>
              </w:rPr>
              <w:t>CENIA – jednorázová AZ v souvislosti se zadáním zakázky na nový formulář dodavateli</w:t>
            </w:r>
          </w:p>
        </w:tc>
        <w:tc>
          <w:tcPr>
            <w:tcW w:w="1441" w:type="dxa"/>
            <w:tcBorders>
              <w:top w:val="nil"/>
              <w:left w:val="nil"/>
              <w:bottom w:val="single" w:sz="4" w:space="0" w:color="auto"/>
              <w:right w:val="single" w:sz="4" w:space="0" w:color="auto"/>
            </w:tcBorders>
            <w:shd w:val="clear" w:color="auto" w:fill="auto"/>
            <w:vAlign w:val="center"/>
          </w:tcPr>
          <w:p w:rsidR="00464807" w:rsidRPr="00830AC2" w:rsidP="000B40FC" w14:paraId="65C78F7D" w14:textId="2656DD9A">
            <w:pPr>
              <w:spacing w:line="240" w:lineRule="auto"/>
              <w:jc w:val="center"/>
              <w:rPr>
                <w:rFonts w:cs="Arial"/>
                <w:bCs/>
                <w:color w:val="000000"/>
                <w:sz w:val="20"/>
                <w:szCs w:val="20"/>
                <w:lang w:eastAsia="cs-CZ"/>
              </w:rPr>
            </w:pPr>
            <w:r>
              <w:rPr>
                <w:rFonts w:cs="Arial"/>
                <w:bCs/>
                <w:color w:val="000000"/>
                <w:sz w:val="20"/>
                <w:szCs w:val="20"/>
                <w:lang w:eastAsia="cs-CZ"/>
              </w:rPr>
              <w:t>153 tis. Kč</w:t>
            </w:r>
          </w:p>
        </w:tc>
      </w:tr>
      <w:tr w14:paraId="1A0FDB2B" w14:textId="77777777" w:rsidTr="00FC0415">
        <w:tblPrEx>
          <w:tblW w:w="9062" w:type="dxa"/>
          <w:tblCellMar>
            <w:left w:w="70" w:type="dxa"/>
            <w:right w:w="70" w:type="dxa"/>
          </w:tblCellMar>
          <w:tblLook w:val="04A0"/>
        </w:tblPrEx>
        <w:trPr>
          <w:trHeight w:val="338"/>
        </w:trPr>
        <w:tc>
          <w:tcPr>
            <w:tcW w:w="1270" w:type="dxa"/>
            <w:vMerge/>
            <w:tcBorders>
              <w:left w:val="single" w:sz="4" w:space="0" w:color="auto"/>
              <w:right w:val="single" w:sz="4" w:space="0" w:color="auto"/>
            </w:tcBorders>
            <w:vAlign w:val="center"/>
          </w:tcPr>
          <w:p w:rsidR="000913F2" w:rsidRPr="0087335F" w:rsidP="000913F2" w14:paraId="6D726A45" w14:textId="77777777">
            <w:pPr>
              <w:spacing w:line="240" w:lineRule="auto"/>
              <w:jc w:val="left"/>
              <w:rPr>
                <w:rFonts w:cs="Arial"/>
                <w:b/>
                <w:bCs/>
                <w:color w:val="000000"/>
                <w:sz w:val="20"/>
                <w:szCs w:val="20"/>
                <w:lang w:eastAsia="cs-CZ"/>
              </w:rPr>
            </w:pPr>
          </w:p>
        </w:tc>
        <w:tc>
          <w:tcPr>
            <w:tcW w:w="2607" w:type="dxa"/>
            <w:tcBorders>
              <w:top w:val="nil"/>
              <w:left w:val="nil"/>
              <w:bottom w:val="single" w:sz="4" w:space="0" w:color="auto"/>
              <w:right w:val="single" w:sz="4" w:space="0" w:color="auto"/>
            </w:tcBorders>
            <w:shd w:val="clear" w:color="auto" w:fill="auto"/>
            <w:vAlign w:val="center"/>
          </w:tcPr>
          <w:p w:rsidR="000913F2" w:rsidRPr="00C62E8C" w:rsidP="000913F2" w14:paraId="5963D0BA" w14:textId="77777777">
            <w:pPr>
              <w:spacing w:line="240" w:lineRule="auto"/>
              <w:jc w:val="left"/>
              <w:rPr>
                <w:rFonts w:cs="Arial"/>
                <w:bCs/>
                <w:color w:val="000000"/>
                <w:sz w:val="20"/>
                <w:szCs w:val="20"/>
                <w:lang w:eastAsia="cs-CZ"/>
              </w:rPr>
            </w:pPr>
          </w:p>
        </w:tc>
        <w:tc>
          <w:tcPr>
            <w:tcW w:w="1238" w:type="dxa"/>
            <w:tcBorders>
              <w:top w:val="nil"/>
              <w:left w:val="nil"/>
              <w:bottom w:val="single" w:sz="4" w:space="0" w:color="auto"/>
              <w:right w:val="single" w:sz="4" w:space="0" w:color="auto"/>
            </w:tcBorders>
            <w:shd w:val="clear" w:color="auto" w:fill="auto"/>
            <w:vAlign w:val="center"/>
          </w:tcPr>
          <w:p w:rsidR="000913F2" w:rsidRPr="0087335F" w:rsidP="000913F2" w14:paraId="654B4C8E" w14:textId="77777777">
            <w:pPr>
              <w:spacing w:line="240" w:lineRule="auto"/>
              <w:jc w:val="center"/>
              <w:rPr>
                <w:rFonts w:cs="Arial"/>
                <w:b/>
                <w:bCs/>
                <w:color w:val="000000"/>
                <w:sz w:val="20"/>
                <w:szCs w:val="20"/>
                <w:lang w:eastAsia="cs-CZ"/>
              </w:rPr>
            </w:pPr>
          </w:p>
        </w:tc>
        <w:tc>
          <w:tcPr>
            <w:tcW w:w="2506" w:type="dxa"/>
            <w:tcBorders>
              <w:top w:val="nil"/>
              <w:left w:val="nil"/>
              <w:bottom w:val="single" w:sz="4" w:space="0" w:color="auto"/>
              <w:right w:val="single" w:sz="4" w:space="0" w:color="auto"/>
            </w:tcBorders>
            <w:shd w:val="clear" w:color="auto" w:fill="auto"/>
            <w:vAlign w:val="center"/>
          </w:tcPr>
          <w:p w:rsidR="000913F2" w:rsidP="000913F2" w14:paraId="14C4CD63" w14:textId="66506F79">
            <w:pPr>
              <w:spacing w:line="240" w:lineRule="auto"/>
              <w:jc w:val="center"/>
              <w:rPr>
                <w:rFonts w:cs="Arial"/>
                <w:bCs/>
                <w:color w:val="000000"/>
                <w:sz w:val="20"/>
                <w:szCs w:val="20"/>
                <w:lang w:eastAsia="cs-CZ"/>
              </w:rPr>
            </w:pPr>
            <w:r>
              <w:rPr>
                <w:rFonts w:cs="Arial"/>
                <w:bCs/>
                <w:color w:val="000000"/>
                <w:sz w:val="20"/>
                <w:szCs w:val="20"/>
                <w:lang w:eastAsia="cs-CZ"/>
              </w:rPr>
              <w:t>MŽP – jednorázová AZ v souvislosti se zadáním zakázky na nový formulář CENIA</w:t>
            </w:r>
          </w:p>
        </w:tc>
        <w:tc>
          <w:tcPr>
            <w:tcW w:w="1441" w:type="dxa"/>
            <w:tcBorders>
              <w:top w:val="nil"/>
              <w:left w:val="nil"/>
              <w:bottom w:val="single" w:sz="4" w:space="0" w:color="auto"/>
              <w:right w:val="single" w:sz="4" w:space="0" w:color="auto"/>
            </w:tcBorders>
            <w:shd w:val="clear" w:color="auto" w:fill="auto"/>
            <w:vAlign w:val="center"/>
          </w:tcPr>
          <w:p w:rsidR="000913F2" w:rsidP="000913F2" w14:paraId="5D0814B9" w14:textId="238B69AF">
            <w:pPr>
              <w:spacing w:line="240" w:lineRule="auto"/>
              <w:jc w:val="center"/>
              <w:rPr>
                <w:rFonts w:cs="Arial"/>
                <w:bCs/>
                <w:color w:val="000000"/>
                <w:sz w:val="20"/>
                <w:szCs w:val="20"/>
                <w:lang w:eastAsia="cs-CZ"/>
              </w:rPr>
            </w:pPr>
            <w:r>
              <w:rPr>
                <w:rFonts w:cs="Arial"/>
                <w:bCs/>
                <w:color w:val="000000"/>
                <w:sz w:val="20"/>
                <w:szCs w:val="20"/>
                <w:lang w:eastAsia="cs-CZ"/>
              </w:rPr>
              <w:t>11,5 tis. Kč</w:t>
            </w:r>
          </w:p>
        </w:tc>
      </w:tr>
      <w:tr w14:paraId="3EE5720E" w14:textId="77777777" w:rsidTr="00FC0415">
        <w:tblPrEx>
          <w:tblW w:w="9062" w:type="dxa"/>
          <w:tblCellMar>
            <w:left w:w="70" w:type="dxa"/>
            <w:right w:w="70" w:type="dxa"/>
          </w:tblCellMar>
          <w:tblLook w:val="04A0"/>
        </w:tblPrEx>
        <w:trPr>
          <w:trHeight w:val="499"/>
        </w:trPr>
        <w:tc>
          <w:tcPr>
            <w:tcW w:w="1270" w:type="dxa"/>
            <w:vMerge/>
            <w:tcBorders>
              <w:left w:val="single" w:sz="4" w:space="0" w:color="auto"/>
              <w:right w:val="single" w:sz="4" w:space="0" w:color="auto"/>
            </w:tcBorders>
            <w:vAlign w:val="center"/>
            <w:hideMark/>
          </w:tcPr>
          <w:p w:rsidR="000913F2" w:rsidRPr="0087335F" w:rsidP="000913F2" w14:paraId="26FCC0B0" w14:textId="77777777">
            <w:pPr>
              <w:spacing w:line="240" w:lineRule="auto"/>
              <w:jc w:val="left"/>
              <w:rPr>
                <w:rFonts w:cs="Arial"/>
                <w:b/>
                <w:bCs/>
                <w:color w:val="000000"/>
                <w:sz w:val="20"/>
                <w:szCs w:val="20"/>
                <w:lang w:eastAsia="cs-CZ"/>
              </w:rPr>
            </w:pPr>
          </w:p>
        </w:tc>
        <w:tc>
          <w:tcPr>
            <w:tcW w:w="7792" w:type="dxa"/>
            <w:gridSpan w:val="4"/>
            <w:tcBorders>
              <w:top w:val="single" w:sz="4" w:space="0" w:color="auto"/>
              <w:left w:val="nil"/>
              <w:bottom w:val="single" w:sz="4" w:space="0" w:color="auto"/>
              <w:right w:val="single" w:sz="4" w:space="0" w:color="auto"/>
            </w:tcBorders>
            <w:shd w:val="clear" w:color="auto" w:fill="auto"/>
            <w:vAlign w:val="center"/>
            <w:hideMark/>
          </w:tcPr>
          <w:p w:rsidR="000913F2" w:rsidRPr="0087335F" w:rsidP="000913F2" w14:paraId="4978EB3D" w14:textId="77777777">
            <w:pPr>
              <w:spacing w:line="240" w:lineRule="auto"/>
              <w:jc w:val="center"/>
              <w:rPr>
                <w:rFonts w:cs="Arial"/>
                <w:b/>
                <w:bCs/>
                <w:color w:val="000000"/>
                <w:sz w:val="20"/>
                <w:szCs w:val="20"/>
                <w:lang w:eastAsia="cs-CZ"/>
              </w:rPr>
            </w:pPr>
            <w:r w:rsidRPr="0087335F">
              <w:rPr>
                <w:rFonts w:cs="Arial"/>
                <w:b/>
                <w:bCs/>
                <w:color w:val="000000"/>
                <w:sz w:val="20"/>
                <w:szCs w:val="20"/>
                <w:lang w:eastAsia="cs-CZ"/>
              </w:rPr>
              <w:t>Podnikatelské prostředí</w:t>
            </w:r>
          </w:p>
        </w:tc>
      </w:tr>
      <w:tr w14:paraId="55010515" w14:textId="77777777" w:rsidTr="00FC0415">
        <w:tblPrEx>
          <w:tblW w:w="9062" w:type="dxa"/>
          <w:tblCellMar>
            <w:left w:w="70" w:type="dxa"/>
            <w:right w:w="70" w:type="dxa"/>
          </w:tblCellMar>
          <w:tblLook w:val="04A0"/>
        </w:tblPrEx>
        <w:trPr>
          <w:trHeight w:val="506"/>
        </w:trPr>
        <w:tc>
          <w:tcPr>
            <w:tcW w:w="1270" w:type="dxa"/>
            <w:vMerge/>
            <w:tcBorders>
              <w:left w:val="single" w:sz="4" w:space="0" w:color="auto"/>
              <w:right w:val="single" w:sz="4" w:space="0" w:color="auto"/>
            </w:tcBorders>
            <w:vAlign w:val="center"/>
          </w:tcPr>
          <w:p w:rsidR="000913F2" w:rsidRPr="0087335F" w:rsidP="000913F2" w14:paraId="03555656" w14:textId="77777777">
            <w:pPr>
              <w:spacing w:line="240" w:lineRule="auto"/>
              <w:jc w:val="left"/>
              <w:rPr>
                <w:rFonts w:cs="Arial"/>
                <w:b/>
                <w:bCs/>
                <w:color w:val="000000"/>
                <w:sz w:val="20"/>
                <w:szCs w:val="20"/>
                <w:lang w:eastAsia="cs-CZ"/>
              </w:rPr>
            </w:pPr>
          </w:p>
        </w:tc>
        <w:tc>
          <w:tcPr>
            <w:tcW w:w="2607" w:type="dxa"/>
            <w:tcBorders>
              <w:top w:val="nil"/>
              <w:left w:val="nil"/>
              <w:bottom w:val="single" w:sz="4" w:space="0" w:color="auto"/>
              <w:right w:val="single" w:sz="4" w:space="0" w:color="auto"/>
            </w:tcBorders>
            <w:shd w:val="clear" w:color="auto" w:fill="auto"/>
            <w:vAlign w:val="center"/>
          </w:tcPr>
          <w:p w:rsidR="000913F2" w:rsidRPr="00322CCA" w:rsidP="000913F2" w14:paraId="7BDDCD26" w14:textId="50EE2EAD">
            <w:pPr>
              <w:spacing w:line="240" w:lineRule="auto"/>
              <w:jc w:val="left"/>
              <w:rPr>
                <w:rFonts w:cs="Arial"/>
                <w:color w:val="000000"/>
                <w:sz w:val="20"/>
                <w:szCs w:val="20"/>
                <w:lang w:eastAsia="cs-CZ"/>
              </w:rPr>
            </w:pPr>
          </w:p>
        </w:tc>
        <w:tc>
          <w:tcPr>
            <w:tcW w:w="1238" w:type="dxa"/>
            <w:tcBorders>
              <w:top w:val="nil"/>
              <w:left w:val="nil"/>
              <w:bottom w:val="single" w:sz="4" w:space="0" w:color="auto"/>
              <w:right w:val="single" w:sz="4" w:space="0" w:color="auto"/>
            </w:tcBorders>
            <w:shd w:val="clear" w:color="auto" w:fill="auto"/>
            <w:vAlign w:val="center"/>
          </w:tcPr>
          <w:p w:rsidR="000913F2" w:rsidP="000913F2" w14:paraId="07141595" w14:textId="3D0A5867">
            <w:pPr>
              <w:spacing w:line="240" w:lineRule="auto"/>
              <w:jc w:val="center"/>
              <w:rPr>
                <w:rFonts w:cs="Arial"/>
                <w:bCs/>
                <w:color w:val="000000"/>
                <w:sz w:val="20"/>
                <w:szCs w:val="20"/>
                <w:lang w:eastAsia="cs-CZ"/>
              </w:rPr>
            </w:pPr>
          </w:p>
        </w:tc>
        <w:tc>
          <w:tcPr>
            <w:tcW w:w="2506" w:type="dxa"/>
            <w:tcBorders>
              <w:top w:val="nil"/>
              <w:left w:val="nil"/>
              <w:bottom w:val="single" w:sz="4" w:space="0" w:color="auto"/>
              <w:right w:val="single" w:sz="4" w:space="0" w:color="auto"/>
            </w:tcBorders>
            <w:shd w:val="clear" w:color="auto" w:fill="auto"/>
            <w:vAlign w:val="center"/>
          </w:tcPr>
          <w:p w:rsidR="000913F2" w:rsidRPr="00831992" w:rsidP="000913F2" w14:paraId="288CB964" w14:textId="3730DA0F">
            <w:pPr>
              <w:spacing w:line="240" w:lineRule="auto"/>
              <w:jc w:val="center"/>
              <w:rPr>
                <w:rFonts w:cs="Arial"/>
                <w:color w:val="000000"/>
                <w:sz w:val="20"/>
                <w:szCs w:val="20"/>
                <w:lang w:eastAsia="cs-CZ"/>
              </w:rPr>
            </w:pPr>
            <w:r>
              <w:rPr>
                <w:rFonts w:cs="Arial"/>
                <w:color w:val="000000"/>
                <w:sz w:val="20"/>
                <w:szCs w:val="20"/>
                <w:lang w:eastAsia="cs-CZ"/>
              </w:rPr>
              <w:t xml:space="preserve">Výrobci </w:t>
            </w:r>
            <w:r w:rsidR="00921643">
              <w:rPr>
                <w:rFonts w:cs="Arial"/>
                <w:color w:val="000000"/>
                <w:sz w:val="20"/>
                <w:szCs w:val="20"/>
                <w:lang w:eastAsia="cs-CZ"/>
              </w:rPr>
              <w:t>jednorázových</w:t>
            </w:r>
            <w:r>
              <w:rPr>
                <w:rFonts w:cs="Arial"/>
                <w:color w:val="000000"/>
                <w:sz w:val="20"/>
                <w:szCs w:val="20"/>
                <w:lang w:eastAsia="cs-CZ"/>
              </w:rPr>
              <w:t xml:space="preserve"> plastových </w:t>
            </w:r>
            <w:r w:rsidR="00921643">
              <w:rPr>
                <w:rFonts w:cs="Arial"/>
                <w:color w:val="000000"/>
                <w:sz w:val="20"/>
                <w:szCs w:val="20"/>
                <w:lang w:eastAsia="cs-CZ"/>
              </w:rPr>
              <w:t>obalů</w:t>
            </w:r>
            <w:r>
              <w:rPr>
                <w:rFonts w:cs="Arial"/>
                <w:color w:val="000000"/>
                <w:sz w:val="20"/>
                <w:szCs w:val="20"/>
                <w:lang w:eastAsia="cs-CZ"/>
              </w:rPr>
              <w:t xml:space="preserve"> – náklady na </w:t>
            </w:r>
            <w:r w:rsidR="00A516B8">
              <w:rPr>
                <w:rFonts w:cs="Arial"/>
                <w:color w:val="000000"/>
                <w:sz w:val="20"/>
                <w:szCs w:val="20"/>
                <w:lang w:eastAsia="cs-CZ"/>
              </w:rPr>
              <w:t xml:space="preserve">ohlašování </w:t>
            </w:r>
            <w:r>
              <w:rPr>
                <w:rFonts w:cs="Arial"/>
                <w:color w:val="000000"/>
                <w:sz w:val="20"/>
                <w:szCs w:val="20"/>
                <w:lang w:eastAsia="cs-CZ"/>
              </w:rPr>
              <w:t>evidenc</w:t>
            </w:r>
            <w:r w:rsidR="00A516B8">
              <w:rPr>
                <w:rFonts w:cs="Arial"/>
                <w:color w:val="000000"/>
                <w:sz w:val="20"/>
                <w:szCs w:val="20"/>
                <w:lang w:eastAsia="cs-CZ"/>
              </w:rPr>
              <w:t>e</w:t>
            </w:r>
            <w:r>
              <w:rPr>
                <w:rFonts w:cs="Arial"/>
                <w:color w:val="000000"/>
                <w:sz w:val="20"/>
                <w:szCs w:val="20"/>
                <w:lang w:eastAsia="cs-CZ"/>
              </w:rPr>
              <w:t xml:space="preserve"> výrobků uváděných na trh</w:t>
            </w:r>
          </w:p>
        </w:tc>
        <w:tc>
          <w:tcPr>
            <w:tcW w:w="1441" w:type="dxa"/>
            <w:tcBorders>
              <w:top w:val="nil"/>
              <w:left w:val="nil"/>
              <w:bottom w:val="single" w:sz="4" w:space="0" w:color="auto"/>
              <w:right w:val="single" w:sz="4" w:space="0" w:color="auto"/>
            </w:tcBorders>
            <w:shd w:val="clear" w:color="auto" w:fill="auto"/>
            <w:vAlign w:val="center"/>
          </w:tcPr>
          <w:p w:rsidR="000913F2" w:rsidRPr="00B6596A" w:rsidP="000913F2" w14:paraId="39B0F703" w14:textId="104E2606">
            <w:pPr>
              <w:spacing w:line="240" w:lineRule="auto"/>
              <w:jc w:val="center"/>
              <w:rPr>
                <w:rFonts w:cs="Arial"/>
                <w:bCs/>
                <w:color w:val="000000"/>
                <w:sz w:val="20"/>
                <w:szCs w:val="20"/>
                <w:lang w:eastAsia="cs-CZ"/>
              </w:rPr>
            </w:pPr>
            <w:r>
              <w:rPr>
                <w:rFonts w:cs="Arial"/>
                <w:bCs/>
                <w:color w:val="000000"/>
                <w:sz w:val="20"/>
                <w:szCs w:val="20"/>
                <w:lang w:eastAsia="cs-CZ"/>
              </w:rPr>
              <w:t>-/*</w:t>
            </w:r>
          </w:p>
        </w:tc>
      </w:tr>
      <w:tr w14:paraId="22478846" w14:textId="77777777" w:rsidTr="00FC0415">
        <w:tblPrEx>
          <w:tblW w:w="9062" w:type="dxa"/>
          <w:tblCellMar>
            <w:left w:w="70" w:type="dxa"/>
            <w:right w:w="70" w:type="dxa"/>
          </w:tblCellMar>
          <w:tblLook w:val="04A0"/>
        </w:tblPrEx>
        <w:trPr>
          <w:trHeight w:val="506"/>
        </w:trPr>
        <w:tc>
          <w:tcPr>
            <w:tcW w:w="1270" w:type="dxa"/>
            <w:vMerge/>
            <w:tcBorders>
              <w:left w:val="single" w:sz="4" w:space="0" w:color="auto"/>
              <w:right w:val="single" w:sz="4" w:space="0" w:color="auto"/>
            </w:tcBorders>
            <w:vAlign w:val="center"/>
          </w:tcPr>
          <w:p w:rsidR="00D0365B" w:rsidRPr="0087335F" w:rsidP="000913F2" w14:paraId="2BFE5309" w14:textId="77777777">
            <w:pPr>
              <w:spacing w:line="240" w:lineRule="auto"/>
              <w:jc w:val="left"/>
              <w:rPr>
                <w:rFonts w:cs="Arial"/>
                <w:b/>
                <w:bCs/>
                <w:color w:val="000000"/>
                <w:sz w:val="20"/>
                <w:szCs w:val="20"/>
                <w:lang w:eastAsia="cs-CZ"/>
              </w:rPr>
            </w:pPr>
          </w:p>
        </w:tc>
        <w:tc>
          <w:tcPr>
            <w:tcW w:w="2607" w:type="dxa"/>
            <w:tcBorders>
              <w:top w:val="nil"/>
              <w:left w:val="nil"/>
              <w:bottom w:val="single" w:sz="4" w:space="0" w:color="auto"/>
              <w:right w:val="single" w:sz="4" w:space="0" w:color="auto"/>
            </w:tcBorders>
            <w:shd w:val="clear" w:color="auto" w:fill="auto"/>
            <w:vAlign w:val="center"/>
          </w:tcPr>
          <w:p w:rsidR="00D0365B" w:rsidRPr="00322CCA" w:rsidP="000913F2" w14:paraId="56C44966" w14:textId="77777777">
            <w:pPr>
              <w:spacing w:line="240" w:lineRule="auto"/>
              <w:jc w:val="left"/>
              <w:rPr>
                <w:rFonts w:cs="Arial"/>
                <w:color w:val="000000"/>
                <w:sz w:val="20"/>
                <w:szCs w:val="20"/>
                <w:lang w:eastAsia="cs-CZ"/>
              </w:rPr>
            </w:pPr>
          </w:p>
        </w:tc>
        <w:tc>
          <w:tcPr>
            <w:tcW w:w="1238" w:type="dxa"/>
            <w:tcBorders>
              <w:top w:val="nil"/>
              <w:left w:val="nil"/>
              <w:bottom w:val="single" w:sz="4" w:space="0" w:color="auto"/>
              <w:right w:val="single" w:sz="4" w:space="0" w:color="auto"/>
            </w:tcBorders>
            <w:shd w:val="clear" w:color="auto" w:fill="auto"/>
            <w:vAlign w:val="center"/>
          </w:tcPr>
          <w:p w:rsidR="00D0365B" w:rsidP="000913F2" w14:paraId="4340B2AF" w14:textId="77777777">
            <w:pPr>
              <w:spacing w:line="240" w:lineRule="auto"/>
              <w:jc w:val="center"/>
              <w:rPr>
                <w:rFonts w:cs="Arial"/>
                <w:bCs/>
                <w:color w:val="000000"/>
                <w:sz w:val="20"/>
                <w:szCs w:val="20"/>
                <w:lang w:eastAsia="cs-CZ"/>
              </w:rPr>
            </w:pPr>
          </w:p>
        </w:tc>
        <w:tc>
          <w:tcPr>
            <w:tcW w:w="2506" w:type="dxa"/>
            <w:tcBorders>
              <w:top w:val="nil"/>
              <w:left w:val="nil"/>
              <w:bottom w:val="single" w:sz="4" w:space="0" w:color="auto"/>
              <w:right w:val="single" w:sz="4" w:space="0" w:color="auto"/>
            </w:tcBorders>
            <w:shd w:val="clear" w:color="auto" w:fill="auto"/>
            <w:vAlign w:val="center"/>
          </w:tcPr>
          <w:p w:rsidR="00D0365B" w:rsidP="000913F2" w14:paraId="2413BB3E" w14:textId="4FAE9488">
            <w:pPr>
              <w:spacing w:line="240" w:lineRule="auto"/>
              <w:jc w:val="center"/>
              <w:rPr>
                <w:rFonts w:cs="Arial"/>
                <w:color w:val="000000"/>
                <w:sz w:val="20"/>
                <w:szCs w:val="20"/>
                <w:lang w:eastAsia="cs-CZ"/>
              </w:rPr>
            </w:pPr>
            <w:r>
              <w:rPr>
                <w:rFonts w:cs="Arial"/>
                <w:color w:val="000000"/>
                <w:sz w:val="20"/>
                <w:szCs w:val="20"/>
                <w:lang w:eastAsia="cs-CZ"/>
              </w:rPr>
              <w:t>AOS - n</w:t>
            </w:r>
            <w:r>
              <w:rPr>
                <w:rFonts w:cs="Arial"/>
                <w:color w:val="000000"/>
                <w:sz w:val="20"/>
                <w:szCs w:val="20"/>
                <w:lang w:eastAsia="cs-CZ"/>
              </w:rPr>
              <w:t xml:space="preserve">avýšení nákladů na audit evidencí výrobců </w:t>
            </w:r>
            <w:r>
              <w:rPr>
                <w:rFonts w:cs="Arial"/>
                <w:color w:val="000000"/>
                <w:sz w:val="20"/>
                <w:szCs w:val="20"/>
                <w:lang w:eastAsia="cs-CZ"/>
              </w:rPr>
              <w:t>jednorázových plastových PET lahví z důvodu povinného přimíchávání r-PET</w:t>
            </w:r>
          </w:p>
        </w:tc>
        <w:tc>
          <w:tcPr>
            <w:tcW w:w="1441" w:type="dxa"/>
            <w:tcBorders>
              <w:top w:val="nil"/>
              <w:left w:val="nil"/>
              <w:bottom w:val="single" w:sz="4" w:space="0" w:color="auto"/>
              <w:right w:val="single" w:sz="4" w:space="0" w:color="auto"/>
            </w:tcBorders>
            <w:shd w:val="clear" w:color="auto" w:fill="auto"/>
            <w:vAlign w:val="center"/>
          </w:tcPr>
          <w:p w:rsidR="00D0365B" w:rsidP="000913F2" w14:paraId="240300EF" w14:textId="385EEB97">
            <w:pPr>
              <w:spacing w:line="240" w:lineRule="auto"/>
              <w:jc w:val="center"/>
              <w:rPr>
                <w:rFonts w:cs="Arial"/>
                <w:bCs/>
                <w:color w:val="000000"/>
                <w:sz w:val="20"/>
                <w:szCs w:val="20"/>
                <w:lang w:eastAsia="cs-CZ"/>
              </w:rPr>
            </w:pPr>
            <w:r>
              <w:rPr>
                <w:rFonts w:cs="Arial"/>
                <w:bCs/>
                <w:color w:val="000000"/>
                <w:sz w:val="20"/>
                <w:szCs w:val="20"/>
                <w:lang w:eastAsia="cs-CZ"/>
              </w:rPr>
              <w:t>Jednotky milionů/rok</w:t>
            </w:r>
          </w:p>
        </w:tc>
      </w:tr>
      <w:tr w14:paraId="2A126A7A" w14:textId="77777777" w:rsidTr="00FC0415">
        <w:tblPrEx>
          <w:tblW w:w="9062" w:type="dxa"/>
          <w:tblCellMar>
            <w:left w:w="70" w:type="dxa"/>
            <w:right w:w="70" w:type="dxa"/>
          </w:tblCellMar>
          <w:tblLook w:val="04A0"/>
        </w:tblPrEx>
        <w:trPr>
          <w:trHeight w:val="499"/>
        </w:trPr>
        <w:tc>
          <w:tcPr>
            <w:tcW w:w="1270" w:type="dxa"/>
            <w:vMerge/>
            <w:tcBorders>
              <w:left w:val="single" w:sz="4" w:space="0" w:color="auto"/>
              <w:right w:val="single" w:sz="4" w:space="0" w:color="auto"/>
            </w:tcBorders>
            <w:vAlign w:val="center"/>
            <w:hideMark/>
          </w:tcPr>
          <w:p w:rsidR="000913F2" w:rsidRPr="0087335F" w:rsidP="000913F2" w14:paraId="71BA4B70" w14:textId="77777777">
            <w:pPr>
              <w:spacing w:line="240" w:lineRule="auto"/>
              <w:jc w:val="left"/>
              <w:rPr>
                <w:rFonts w:cs="Arial"/>
                <w:b/>
                <w:bCs/>
                <w:color w:val="000000"/>
                <w:sz w:val="20"/>
                <w:szCs w:val="20"/>
                <w:lang w:eastAsia="cs-CZ"/>
              </w:rPr>
            </w:pPr>
          </w:p>
        </w:tc>
        <w:tc>
          <w:tcPr>
            <w:tcW w:w="7792" w:type="dxa"/>
            <w:gridSpan w:val="4"/>
            <w:tcBorders>
              <w:top w:val="single" w:sz="4" w:space="0" w:color="auto"/>
              <w:left w:val="nil"/>
              <w:bottom w:val="single" w:sz="4" w:space="0" w:color="auto"/>
              <w:right w:val="single" w:sz="4" w:space="0" w:color="auto"/>
            </w:tcBorders>
            <w:shd w:val="clear" w:color="auto" w:fill="auto"/>
            <w:vAlign w:val="center"/>
            <w:hideMark/>
          </w:tcPr>
          <w:p w:rsidR="000913F2" w:rsidRPr="0087335F" w:rsidP="000913F2" w14:paraId="12ED062B" w14:textId="77777777">
            <w:pPr>
              <w:spacing w:line="240" w:lineRule="auto"/>
              <w:jc w:val="center"/>
              <w:rPr>
                <w:rFonts w:cs="Arial"/>
                <w:b/>
                <w:bCs/>
                <w:color w:val="000000"/>
                <w:sz w:val="20"/>
                <w:szCs w:val="20"/>
                <w:lang w:eastAsia="cs-CZ"/>
              </w:rPr>
            </w:pPr>
            <w:r w:rsidRPr="0087335F">
              <w:rPr>
                <w:rFonts w:cs="Arial"/>
                <w:b/>
                <w:bCs/>
                <w:color w:val="000000"/>
                <w:sz w:val="20"/>
                <w:szCs w:val="20"/>
                <w:lang w:eastAsia="cs-CZ"/>
              </w:rPr>
              <w:t>Životní prostředí</w:t>
            </w:r>
          </w:p>
        </w:tc>
      </w:tr>
      <w:tr w14:paraId="21EC85A3" w14:textId="77777777" w:rsidTr="00FC0415">
        <w:tblPrEx>
          <w:tblW w:w="9062" w:type="dxa"/>
          <w:tblCellMar>
            <w:left w:w="70" w:type="dxa"/>
            <w:right w:w="70" w:type="dxa"/>
          </w:tblCellMar>
          <w:tblLook w:val="04A0"/>
        </w:tblPrEx>
        <w:trPr>
          <w:trHeight w:val="378"/>
        </w:trPr>
        <w:tc>
          <w:tcPr>
            <w:tcW w:w="1270" w:type="dxa"/>
            <w:vMerge/>
            <w:tcBorders>
              <w:left w:val="single" w:sz="4" w:space="0" w:color="auto"/>
              <w:bottom w:val="single" w:sz="4" w:space="0" w:color="auto"/>
              <w:right w:val="single" w:sz="4" w:space="0" w:color="auto"/>
            </w:tcBorders>
            <w:vAlign w:val="center"/>
          </w:tcPr>
          <w:p w:rsidR="000913F2" w:rsidRPr="0087335F" w:rsidP="000913F2" w14:paraId="7DB07576" w14:textId="77777777">
            <w:pPr>
              <w:spacing w:line="240" w:lineRule="auto"/>
              <w:jc w:val="left"/>
              <w:rPr>
                <w:rFonts w:cs="Arial"/>
                <w:b/>
                <w:bCs/>
                <w:color w:val="000000"/>
                <w:sz w:val="20"/>
                <w:szCs w:val="20"/>
                <w:lang w:eastAsia="cs-CZ"/>
              </w:rPr>
            </w:pPr>
          </w:p>
        </w:tc>
        <w:tc>
          <w:tcPr>
            <w:tcW w:w="2607" w:type="dxa"/>
            <w:tcBorders>
              <w:top w:val="single" w:sz="4" w:space="0" w:color="auto"/>
              <w:left w:val="nil"/>
              <w:bottom w:val="single" w:sz="4" w:space="0" w:color="auto"/>
              <w:right w:val="single" w:sz="4" w:space="0" w:color="auto"/>
            </w:tcBorders>
            <w:shd w:val="clear" w:color="auto" w:fill="auto"/>
            <w:vAlign w:val="center"/>
          </w:tcPr>
          <w:p w:rsidR="000913F2" w:rsidP="000913F2" w14:paraId="75973011" w14:textId="4E5AD459">
            <w:pPr>
              <w:spacing w:line="240" w:lineRule="auto"/>
              <w:jc w:val="center"/>
              <w:rPr>
                <w:rFonts w:cs="Arial"/>
                <w:color w:val="000000"/>
                <w:sz w:val="20"/>
                <w:szCs w:val="20"/>
                <w:lang w:eastAsia="cs-CZ"/>
              </w:rPr>
            </w:pPr>
            <w:r>
              <w:rPr>
                <w:rFonts w:cs="Arial"/>
                <w:color w:val="000000"/>
                <w:sz w:val="20"/>
                <w:szCs w:val="20"/>
                <w:lang w:eastAsia="cs-CZ"/>
              </w:rPr>
              <w:t>Možné snížení dopadů</w:t>
            </w:r>
            <w:r w:rsidR="00921643">
              <w:rPr>
                <w:rFonts w:cs="Arial"/>
                <w:color w:val="000000"/>
                <w:sz w:val="20"/>
                <w:szCs w:val="20"/>
                <w:lang w:eastAsia="cs-CZ"/>
              </w:rPr>
              <w:t xml:space="preserve"> jednorázových</w:t>
            </w:r>
            <w:r>
              <w:rPr>
                <w:rFonts w:cs="Arial"/>
                <w:color w:val="000000"/>
                <w:sz w:val="20"/>
                <w:szCs w:val="20"/>
                <w:lang w:eastAsia="cs-CZ"/>
              </w:rPr>
              <w:t xml:space="preserve"> plastových </w:t>
            </w:r>
            <w:r w:rsidR="00921643">
              <w:rPr>
                <w:rFonts w:cs="Arial"/>
                <w:color w:val="000000"/>
                <w:sz w:val="20"/>
                <w:szCs w:val="20"/>
                <w:lang w:eastAsia="cs-CZ"/>
              </w:rPr>
              <w:t>obalů</w:t>
            </w:r>
            <w:r>
              <w:rPr>
                <w:rFonts w:cs="Arial"/>
                <w:color w:val="000000"/>
                <w:sz w:val="20"/>
                <w:szCs w:val="20"/>
                <w:lang w:eastAsia="cs-CZ"/>
              </w:rPr>
              <w:t xml:space="preserve"> na ŽP v případě dalších činností plánovaných na základě přesných evidencí a statistik</w:t>
            </w:r>
          </w:p>
        </w:tc>
        <w:tc>
          <w:tcPr>
            <w:tcW w:w="1238" w:type="dxa"/>
            <w:tcBorders>
              <w:top w:val="single" w:sz="4" w:space="0" w:color="auto"/>
              <w:left w:val="nil"/>
              <w:bottom w:val="single" w:sz="4" w:space="0" w:color="auto"/>
              <w:right w:val="single" w:sz="4" w:space="0" w:color="auto"/>
            </w:tcBorders>
            <w:shd w:val="clear" w:color="auto" w:fill="auto"/>
            <w:vAlign w:val="center"/>
          </w:tcPr>
          <w:p w:rsidR="000913F2" w:rsidP="000913F2" w14:paraId="441BF449" w14:textId="4E94F75A">
            <w:pPr>
              <w:spacing w:line="240" w:lineRule="auto"/>
              <w:jc w:val="center"/>
              <w:rPr>
                <w:rFonts w:cs="Arial"/>
                <w:color w:val="000000"/>
                <w:sz w:val="20"/>
                <w:szCs w:val="20"/>
                <w:lang w:eastAsia="cs-CZ"/>
              </w:rPr>
            </w:pPr>
            <w:r>
              <w:rPr>
                <w:rFonts w:cs="Arial"/>
                <w:color w:val="000000"/>
                <w:sz w:val="20"/>
                <w:szCs w:val="20"/>
                <w:lang w:eastAsia="cs-CZ"/>
              </w:rPr>
              <w:t>***</w:t>
            </w:r>
          </w:p>
        </w:tc>
        <w:tc>
          <w:tcPr>
            <w:tcW w:w="2506" w:type="dxa"/>
            <w:tcBorders>
              <w:top w:val="single" w:sz="4" w:space="0" w:color="auto"/>
              <w:left w:val="nil"/>
              <w:bottom w:val="single" w:sz="4" w:space="0" w:color="auto"/>
              <w:right w:val="single" w:sz="4" w:space="0" w:color="auto"/>
            </w:tcBorders>
            <w:shd w:val="clear" w:color="auto" w:fill="auto"/>
            <w:vAlign w:val="center"/>
          </w:tcPr>
          <w:p w:rsidR="000913F2" w:rsidP="000913F2" w14:paraId="7F7774F3" w14:textId="77777777">
            <w:pPr>
              <w:spacing w:line="240" w:lineRule="auto"/>
              <w:jc w:val="center"/>
              <w:rPr>
                <w:rFonts w:cs="Arial"/>
                <w:color w:val="000000"/>
                <w:sz w:val="20"/>
                <w:szCs w:val="20"/>
                <w:lang w:eastAsia="cs-CZ"/>
              </w:rPr>
            </w:pPr>
          </w:p>
        </w:tc>
        <w:tc>
          <w:tcPr>
            <w:tcW w:w="1441" w:type="dxa"/>
            <w:tcBorders>
              <w:top w:val="single" w:sz="4" w:space="0" w:color="auto"/>
              <w:left w:val="nil"/>
              <w:bottom w:val="single" w:sz="4" w:space="0" w:color="auto"/>
              <w:right w:val="single" w:sz="4" w:space="0" w:color="auto"/>
            </w:tcBorders>
            <w:shd w:val="clear" w:color="auto" w:fill="auto"/>
            <w:vAlign w:val="center"/>
          </w:tcPr>
          <w:p w:rsidR="000913F2" w:rsidP="000913F2" w14:paraId="24CE85B7" w14:textId="77777777">
            <w:pPr>
              <w:spacing w:line="240" w:lineRule="auto"/>
              <w:jc w:val="center"/>
              <w:rPr>
                <w:rFonts w:cs="Arial"/>
                <w:color w:val="000000"/>
                <w:sz w:val="20"/>
                <w:szCs w:val="20"/>
                <w:lang w:eastAsia="cs-CZ"/>
              </w:rPr>
            </w:pPr>
          </w:p>
        </w:tc>
      </w:tr>
    </w:tbl>
    <w:p w:rsidR="00464807" w:rsidP="00464807" w14:paraId="09CF94FC" w14:textId="77777777">
      <w:pPr>
        <w:autoSpaceDE w:val="0"/>
        <w:autoSpaceDN w:val="0"/>
        <w:adjustRightInd w:val="0"/>
        <w:spacing w:line="240" w:lineRule="auto"/>
        <w:rPr>
          <w:rFonts w:cs="Arial"/>
          <w:b/>
          <w:bCs/>
          <w:color w:val="000000"/>
          <w:sz w:val="20"/>
          <w:szCs w:val="20"/>
          <w:lang w:eastAsia="cs-CZ"/>
        </w:rPr>
      </w:pPr>
      <w:r>
        <w:rPr>
          <w:rFonts w:cs="Arial"/>
          <w:b/>
          <w:bCs/>
          <w:color w:val="000000"/>
          <w:sz w:val="20"/>
          <w:szCs w:val="20"/>
          <w:lang w:eastAsia="cs-CZ"/>
        </w:rPr>
        <w:t>- bez dopadů, * velmi nízké, ** nízké, *** střední, **** vysoké, ***** velmi vysoké</w:t>
      </w:r>
    </w:p>
    <w:p w:rsidR="00464807" w:rsidP="00464807" w14:paraId="7B93480F" w14:textId="77777777">
      <w:pPr>
        <w:rPr>
          <w:rFonts w:eastAsia="Calibri" w:cs="Arial"/>
          <w:szCs w:val="22"/>
        </w:rPr>
      </w:pPr>
      <w:r w:rsidRPr="00993C09">
        <w:rPr>
          <w:rFonts w:cs="Arial"/>
          <w:bCs/>
          <w:color w:val="000000"/>
          <w:sz w:val="20"/>
          <w:szCs w:val="20"/>
          <w:lang w:eastAsia="cs-CZ"/>
        </w:rPr>
        <w:t>U některých identifikovaných dopadů není možné kvantifikovat jejich konkrétní výši z důvodu nedostupnosti relevantních dat anebo nemožnosti odhadnout a vyčíslit budoucí chování dotčených subjektů. V takové situaci Závěrečná zpráva RIA tyto dopady vyhodnocuje kvalitativně formou slovního popisu a odstupňování předpokládané a konzultované míry dopadu pomocí ordinální škály, která je pouze zjednodušeným souhrnem celého hodnocení dopadů regulace RIA. Symboly označují předpokládanou míru dopadu navrhované změny, která byla v procesu konzultací vyhodnocena v míře od velmi nízkého očekávaného dopadu (*) po velmi vysoký (*****).</w:t>
      </w:r>
    </w:p>
    <w:p w:rsidR="00B13BE6" w:rsidP="00786E81" w14:paraId="7FA9AC3B" w14:textId="6B4C61CC">
      <w:pPr>
        <w:rPr>
          <w:rFonts w:eastAsia="MS Mincho"/>
          <w:b/>
        </w:rPr>
      </w:pPr>
    </w:p>
    <w:p w:rsidR="00786E81" w:rsidRPr="00546E8A" w:rsidP="00786E81" w14:paraId="12BDD5F5" w14:textId="77777777">
      <w:pPr>
        <w:pStyle w:val="Heading2"/>
      </w:pPr>
      <w:bookmarkStart w:id="30" w:name="_Toc109829319"/>
      <w:r w:rsidRPr="00BF31E7">
        <w:t>Stanovení pořadí variant a výběr nejvhodnějšího řešení</w:t>
      </w:r>
      <w:bookmarkEnd w:id="30"/>
    </w:p>
    <w:p w:rsidR="00786E81" w:rsidRPr="00546E8A" w:rsidP="00610C7D" w14:paraId="342C2EA7" w14:textId="7D40D827">
      <w:pPr>
        <w:pStyle w:val="ListParagraph"/>
        <w:numPr>
          <w:ilvl w:val="0"/>
          <w:numId w:val="8"/>
        </w:numPr>
        <w:contextualSpacing/>
        <w:rPr>
          <w:b/>
          <w:bCs/>
        </w:rPr>
      </w:pPr>
      <w:r w:rsidRPr="00546E8A">
        <w:rPr>
          <w:b/>
          <w:bCs/>
        </w:rPr>
        <w:t>Varianta</w:t>
      </w:r>
      <w:r w:rsidR="00DC71C1">
        <w:rPr>
          <w:b/>
          <w:bCs/>
        </w:rPr>
        <w:t xml:space="preserve"> 1</w:t>
      </w:r>
      <w:r w:rsidRPr="00546E8A">
        <w:rPr>
          <w:b/>
          <w:bCs/>
        </w:rPr>
        <w:t xml:space="preserve"> </w:t>
      </w:r>
    </w:p>
    <w:p w:rsidR="00786E81" w:rsidP="00610C7D" w14:paraId="1E0684D4" w14:textId="38F1CE23">
      <w:pPr>
        <w:pStyle w:val="ListParagraph"/>
        <w:numPr>
          <w:ilvl w:val="0"/>
          <w:numId w:val="8"/>
        </w:numPr>
        <w:ind w:left="714" w:hanging="357"/>
        <w:contextualSpacing/>
      </w:pPr>
      <w:r>
        <w:t xml:space="preserve">Varianta </w:t>
      </w:r>
      <w:r w:rsidR="00DC71C1">
        <w:t>0</w:t>
      </w:r>
    </w:p>
    <w:p w:rsidR="0043501A" w:rsidP="00DC71C1" w14:paraId="1298CA17" w14:textId="73704846">
      <w:r>
        <w:t>Díky informacím ohledně produkce a nakládání s </w:t>
      </w:r>
      <w:r w:rsidR="00921643">
        <w:t>jednorázový</w:t>
      </w:r>
      <w:r>
        <w:t xml:space="preserve">mi plastovými </w:t>
      </w:r>
      <w:r w:rsidR="00921643">
        <w:t>obaly</w:t>
      </w:r>
      <w:r w:rsidR="0014399E">
        <w:t xml:space="preserve"> získaným přesnou evidencí a ohlašováním výrobci</w:t>
      </w:r>
      <w:r>
        <w:t xml:space="preserve">, </w:t>
      </w:r>
      <w:r w:rsidRPr="00C97582">
        <w:t>je možné</w:t>
      </w:r>
      <w:r>
        <w:t xml:space="preserve"> provádět a </w:t>
      </w:r>
      <w:r w:rsidRPr="00C97582">
        <w:t xml:space="preserve">plánovat další relevantní </w:t>
      </w:r>
      <w:r w:rsidRPr="00C97582">
        <w:t>činnost</w:t>
      </w:r>
      <w:r>
        <w:t>i</w:t>
      </w:r>
      <w:r w:rsidRPr="00C97582">
        <w:t xml:space="preserve"> </w:t>
      </w:r>
      <w:r>
        <w:t xml:space="preserve">z pozice MŽP, </w:t>
      </w:r>
      <w:r w:rsidRPr="00C97582">
        <w:t>kontrolních a</w:t>
      </w:r>
      <w:r>
        <w:t> </w:t>
      </w:r>
      <w:r w:rsidRPr="00C97582">
        <w:t xml:space="preserve">dozorových orgánů a </w:t>
      </w:r>
      <w:r>
        <w:t>dosáhnout tak hlavního cíle směrnice</w:t>
      </w:r>
      <w:r w:rsidR="0014399E">
        <w:t xml:space="preserve"> SUP</w:t>
      </w:r>
      <w:r>
        <w:t xml:space="preserve">, a to snížení dopadů odpadů z jednorázových plastových </w:t>
      </w:r>
      <w:r w:rsidR="00921643">
        <w:t>obalů</w:t>
      </w:r>
      <w:r>
        <w:t xml:space="preserve"> na životní prostředí.</w:t>
      </w:r>
      <w:r w:rsidRPr="0014399E" w:rsidR="0014399E">
        <w:t xml:space="preserve"> </w:t>
      </w:r>
    </w:p>
    <w:p w:rsidR="00822AFC" w:rsidP="00DC71C1" w14:paraId="004DD780" w14:textId="21AA7489">
      <w:r>
        <w:t>J</w:t>
      </w:r>
      <w:r w:rsidRPr="008E586F">
        <w:t xml:space="preserve">edná </w:t>
      </w:r>
      <w:r>
        <w:t xml:space="preserve">se </w:t>
      </w:r>
      <w:r w:rsidRPr="008E586F">
        <w:t xml:space="preserve">o transpozici směrnice SUP, </w:t>
      </w:r>
      <w:r>
        <w:t xml:space="preserve">z toho důvodu </w:t>
      </w:r>
      <w:r w:rsidRPr="008E586F">
        <w:t>doporučujeme přijmout variantu 1. O</w:t>
      </w:r>
      <w:r>
        <w:t> </w:t>
      </w:r>
      <w:r w:rsidRPr="008E586F">
        <w:t>ponechání varianty 0 nelze reálně uvažovat z důvodu hrozícího</w:t>
      </w:r>
      <w:r>
        <w:t xml:space="preserve"> </w:t>
      </w:r>
      <w:r>
        <w:t>infringementu</w:t>
      </w:r>
      <w:r>
        <w:t>.</w:t>
      </w:r>
    </w:p>
    <w:p w:rsidR="00786E81" w:rsidRPr="00D61EC8" w:rsidP="00786E81" w14:paraId="78E76E71" w14:textId="24F2F1B6">
      <w:pPr>
        <w:pStyle w:val="Heading1"/>
        <w:rPr>
          <w:rFonts w:cs="Arial"/>
        </w:rPr>
      </w:pPr>
      <w:bookmarkStart w:id="31" w:name="_Toc109829320"/>
      <w:bookmarkEnd w:id="19"/>
      <w:r w:rsidRPr="00D61EC8">
        <w:rPr>
          <w:rFonts w:cs="Arial"/>
        </w:rPr>
        <w:t>O</w:t>
      </w:r>
      <w:r w:rsidRPr="00D61EC8">
        <w:rPr>
          <w:rFonts w:cs="Arial"/>
          <w:color w:val="000000"/>
          <w:shd w:val="clear" w:color="auto" w:fill="FFFFFF"/>
        </w:rPr>
        <w:t>světová činnost</w:t>
      </w:r>
      <w:r w:rsidR="004311DE">
        <w:rPr>
          <w:rFonts w:cs="Arial"/>
          <w:color w:val="000000"/>
          <w:shd w:val="clear" w:color="auto" w:fill="FFFFFF"/>
        </w:rPr>
        <w:t xml:space="preserve"> – </w:t>
      </w:r>
      <w:r w:rsidRPr="00D61EC8">
        <w:rPr>
          <w:rFonts w:cs="Arial"/>
          <w:color w:val="000000"/>
          <w:shd w:val="clear" w:color="auto" w:fill="FFFFFF"/>
        </w:rPr>
        <w:t>m</w:t>
      </w:r>
      <w:r w:rsidRPr="00D61EC8" w:rsidR="00FC60A7">
        <w:rPr>
          <w:rFonts w:cs="Arial"/>
        </w:rPr>
        <w:t>inimální rozsah a způsob vedení informačních kampaní (§ 9 odst. 3 zákona SUP)</w:t>
      </w:r>
      <w:bookmarkEnd w:id="31"/>
    </w:p>
    <w:p w:rsidR="00786E81" w:rsidRPr="00786E81" w:rsidP="00786E81" w14:paraId="6184EF5E" w14:textId="77777777">
      <w:pPr>
        <w:pStyle w:val="Heading2"/>
        <w:rPr>
          <w:i w:val="0"/>
        </w:rPr>
      </w:pPr>
      <w:bookmarkStart w:id="32" w:name="_Toc109829321"/>
      <w:r w:rsidRPr="00786E81">
        <w:rPr>
          <w:i w:val="0"/>
        </w:rPr>
        <w:t>Důvod předložení a cíle</w:t>
      </w:r>
      <w:bookmarkEnd w:id="32"/>
    </w:p>
    <w:p w:rsidR="00786E81" w:rsidP="00786E81" w14:paraId="43DFCEFA" w14:textId="77777777">
      <w:pPr>
        <w:pStyle w:val="Heading3"/>
      </w:pPr>
      <w:r w:rsidRPr="00546E8A">
        <w:t>Definice problému</w:t>
      </w:r>
    </w:p>
    <w:p w:rsidR="00E00DBC" w:rsidP="00D61EC8" w14:paraId="64BF0681" w14:textId="791DA3AF">
      <w:pPr>
        <w:rPr>
          <w:rFonts w:cs="EU Albertina"/>
          <w:color w:val="000000"/>
          <w:szCs w:val="22"/>
        </w:rPr>
      </w:pPr>
      <w:r w:rsidRPr="007A3278">
        <w:rPr>
          <w:rFonts w:cs="EU Albertina"/>
          <w:color w:val="000000"/>
          <w:szCs w:val="22"/>
        </w:rPr>
        <w:t>Výrobci</w:t>
      </w:r>
      <w:r w:rsidR="000F6F3D">
        <w:rPr>
          <w:rFonts w:cs="EU Albertina"/>
          <w:color w:val="000000"/>
          <w:szCs w:val="22"/>
        </w:rPr>
        <w:t xml:space="preserve"> vybraných</w:t>
      </w:r>
      <w:r w:rsidR="001B0873">
        <w:rPr>
          <w:rFonts w:cs="EU Albertina"/>
          <w:color w:val="000000"/>
          <w:szCs w:val="22"/>
        </w:rPr>
        <w:t xml:space="preserve"> </w:t>
      </w:r>
      <w:r w:rsidR="00A94F72">
        <w:rPr>
          <w:rFonts w:cs="EU Albertina"/>
          <w:color w:val="000000"/>
          <w:szCs w:val="22"/>
        </w:rPr>
        <w:t xml:space="preserve">jednorázových </w:t>
      </w:r>
      <w:r w:rsidR="00663D78">
        <w:rPr>
          <w:rFonts w:cs="EU Albertina"/>
          <w:color w:val="000000"/>
          <w:szCs w:val="22"/>
        </w:rPr>
        <w:t xml:space="preserve">plastových obalů </w:t>
      </w:r>
      <w:r>
        <w:rPr>
          <w:rFonts w:cs="EU Albertina"/>
          <w:color w:val="000000"/>
          <w:szCs w:val="22"/>
        </w:rPr>
        <w:t xml:space="preserve">mají dle zákona </w:t>
      </w:r>
      <w:r w:rsidR="007017B9">
        <w:rPr>
          <w:rFonts w:cs="EU Albertina"/>
          <w:color w:val="000000"/>
          <w:szCs w:val="22"/>
        </w:rPr>
        <w:t>o obalech</w:t>
      </w:r>
      <w:r>
        <w:rPr>
          <w:rFonts w:cs="EU Albertina"/>
          <w:color w:val="000000"/>
          <w:szCs w:val="22"/>
        </w:rPr>
        <w:t xml:space="preserve"> </w:t>
      </w:r>
      <w:r w:rsidRPr="007A3278">
        <w:rPr>
          <w:rFonts w:cs="EU Albertina"/>
          <w:color w:val="000000"/>
          <w:szCs w:val="22"/>
        </w:rPr>
        <w:t>povinnost provádět osvětovou či</w:t>
      </w:r>
      <w:r w:rsidR="00BB23DB">
        <w:rPr>
          <w:rFonts w:cs="EU Albertina"/>
          <w:color w:val="000000"/>
          <w:szCs w:val="22"/>
        </w:rPr>
        <w:t xml:space="preserve"> </w:t>
      </w:r>
      <w:r w:rsidRPr="007A3278">
        <w:rPr>
          <w:rFonts w:cs="EU Albertina"/>
          <w:color w:val="000000"/>
          <w:szCs w:val="22"/>
        </w:rPr>
        <w:t>informační činnost</w:t>
      </w:r>
      <w:r w:rsidRPr="008B5527">
        <w:rPr>
          <w:rFonts w:cs="EU Albertina"/>
          <w:color w:val="000000"/>
          <w:szCs w:val="22"/>
        </w:rPr>
        <w:t xml:space="preserve"> </w:t>
      </w:r>
      <w:r w:rsidRPr="003D02B3">
        <w:rPr>
          <w:rFonts w:cs="Arial"/>
        </w:rPr>
        <w:t>spotřebitelů</w:t>
      </w:r>
      <w:r>
        <w:rPr>
          <w:rFonts w:cs="Arial"/>
        </w:rPr>
        <w:t xml:space="preserve"> za účelem </w:t>
      </w:r>
      <w:r w:rsidRPr="003D02B3">
        <w:rPr>
          <w:rFonts w:cs="Arial"/>
        </w:rPr>
        <w:t>podnícení odpovědného spotřebitelského chová</w:t>
      </w:r>
      <w:r>
        <w:rPr>
          <w:rFonts w:cs="Arial"/>
        </w:rPr>
        <w:t xml:space="preserve">ní, a tím </w:t>
      </w:r>
      <w:r w:rsidRPr="003D02B3">
        <w:rPr>
          <w:rFonts w:cs="Arial"/>
        </w:rPr>
        <w:t>snížení množství odhozených odpadků z</w:t>
      </w:r>
      <w:r>
        <w:rPr>
          <w:rFonts w:cs="Arial"/>
        </w:rPr>
        <w:t> </w:t>
      </w:r>
      <w:r w:rsidR="00EA646C">
        <w:rPr>
          <w:rFonts w:cs="EU Albertina"/>
          <w:color w:val="000000"/>
          <w:szCs w:val="22"/>
        </w:rPr>
        <w:t>jednorázových plastových obalů</w:t>
      </w:r>
      <w:r>
        <w:rPr>
          <w:rFonts w:cs="Arial"/>
        </w:rPr>
        <w:t xml:space="preserve">. </w:t>
      </w:r>
      <w:r>
        <w:t xml:space="preserve">Zákon </w:t>
      </w:r>
      <w:r w:rsidR="00276941">
        <w:t>o obalech</w:t>
      </w:r>
      <w:r>
        <w:t xml:space="preserve"> však blíže nestanovuje minimální rozsah a</w:t>
      </w:r>
      <w:r w:rsidR="000F6F3D">
        <w:t> </w:t>
      </w:r>
      <w:r>
        <w:t>způsob vedení či realizace informačních kampaní.</w:t>
      </w:r>
      <w:r w:rsidR="00BB23DB">
        <w:t xml:space="preserve"> </w:t>
      </w:r>
      <w:r w:rsidR="000A6A75">
        <w:t>V případě, že by nebyly stanoveny bližší požadavky na</w:t>
      </w:r>
      <w:r w:rsidR="00BB23DB">
        <w:t> </w:t>
      </w:r>
      <w:r w:rsidR="000A6A75">
        <w:t xml:space="preserve">způsob vedení informačních kampaní, </w:t>
      </w:r>
      <w:r w:rsidR="001B0873">
        <w:t xml:space="preserve">mohlo by dojít k podobné situaci jako </w:t>
      </w:r>
      <w:r w:rsidR="000F6F3D">
        <w:t xml:space="preserve">např. </w:t>
      </w:r>
      <w:r w:rsidR="001B0873">
        <w:t>u</w:t>
      </w:r>
      <w:r w:rsidR="000F6F3D">
        <w:t> </w:t>
      </w:r>
      <w:r w:rsidR="00BB23DB">
        <w:t xml:space="preserve">některých </w:t>
      </w:r>
      <w:r w:rsidR="001B0873">
        <w:t>výrobků s ukončenou životností</w:t>
      </w:r>
      <w:r w:rsidR="00BB23DB">
        <w:t xml:space="preserve"> (elektrozařízení, pneumatiky)</w:t>
      </w:r>
      <w:r w:rsidR="001B0873">
        <w:t xml:space="preserve">, kde </w:t>
      </w:r>
      <w:r w:rsidRPr="008B5527" w:rsidR="001B0873">
        <w:rPr>
          <w:rFonts w:cs="EU Albertina"/>
          <w:color w:val="000000"/>
          <w:szCs w:val="22"/>
        </w:rPr>
        <w:t>výrobci plnící povinnosti zpětného odběru</w:t>
      </w:r>
      <w:r w:rsidR="001B0873">
        <w:rPr>
          <w:rFonts w:cs="EU Albertina"/>
          <w:color w:val="000000"/>
          <w:szCs w:val="22"/>
        </w:rPr>
        <w:t xml:space="preserve"> </w:t>
      </w:r>
      <w:r w:rsidRPr="008B5527" w:rsidR="001B0873">
        <w:rPr>
          <w:rFonts w:cs="EU Albertina"/>
          <w:color w:val="000000"/>
          <w:szCs w:val="22"/>
        </w:rPr>
        <w:t>individuálně většinou propagační a</w:t>
      </w:r>
      <w:r w:rsidR="00BB23DB">
        <w:rPr>
          <w:rFonts w:cs="EU Albertina"/>
          <w:color w:val="000000"/>
          <w:szCs w:val="22"/>
        </w:rPr>
        <w:t> </w:t>
      </w:r>
      <w:r w:rsidRPr="008B5527" w:rsidR="001B0873">
        <w:rPr>
          <w:rFonts w:cs="EU Albertina"/>
          <w:color w:val="000000"/>
          <w:szCs w:val="22"/>
        </w:rPr>
        <w:t>osvětovou činnost neprovádí vůbec nebo</w:t>
      </w:r>
      <w:r w:rsidR="001B0873">
        <w:rPr>
          <w:rFonts w:cs="EU Albertina"/>
          <w:color w:val="000000"/>
          <w:szCs w:val="22"/>
        </w:rPr>
        <w:t xml:space="preserve"> jen</w:t>
      </w:r>
      <w:r w:rsidRPr="008B5527" w:rsidR="001B0873">
        <w:rPr>
          <w:rFonts w:cs="EU Albertina"/>
          <w:color w:val="000000"/>
          <w:szCs w:val="22"/>
        </w:rPr>
        <w:t xml:space="preserve"> ve velmi omezené míře</w:t>
      </w:r>
      <w:r w:rsidR="001B0873">
        <w:rPr>
          <w:rFonts w:cs="EU Albertina"/>
          <w:color w:val="000000"/>
          <w:szCs w:val="22"/>
        </w:rPr>
        <w:t xml:space="preserve">, neboť jim legislativa tyto povinnosti </w:t>
      </w:r>
      <w:r w:rsidR="008975F5">
        <w:rPr>
          <w:rFonts w:cs="EU Albertina"/>
          <w:color w:val="000000"/>
          <w:szCs w:val="22"/>
        </w:rPr>
        <w:t xml:space="preserve">dříve </w:t>
      </w:r>
      <w:r w:rsidR="001B0873">
        <w:rPr>
          <w:rFonts w:cs="EU Albertina"/>
          <w:color w:val="000000"/>
          <w:szCs w:val="22"/>
        </w:rPr>
        <w:t>prakticky nestanovovala</w:t>
      </w:r>
      <w:r w:rsidR="000F6F3D">
        <w:rPr>
          <w:rFonts w:cs="EU Albertina"/>
          <w:color w:val="000000"/>
          <w:szCs w:val="22"/>
        </w:rPr>
        <w:t>, z</w:t>
      </w:r>
      <w:r w:rsidRPr="008B5527" w:rsidR="001B0873">
        <w:rPr>
          <w:rFonts w:cs="EU Albertina"/>
          <w:color w:val="000000"/>
          <w:szCs w:val="22"/>
        </w:rPr>
        <w:t>a</w:t>
      </w:r>
      <w:r w:rsidR="000F6F3D">
        <w:rPr>
          <w:rFonts w:cs="EU Albertina"/>
          <w:color w:val="000000"/>
          <w:szCs w:val="22"/>
        </w:rPr>
        <w:t xml:space="preserve">tímco </w:t>
      </w:r>
      <w:r w:rsidRPr="008B5527" w:rsidR="001B0873">
        <w:rPr>
          <w:rFonts w:cs="EU Albertina"/>
          <w:color w:val="000000"/>
          <w:szCs w:val="22"/>
        </w:rPr>
        <w:t>výrobc</w:t>
      </w:r>
      <w:r w:rsidR="000F6F3D">
        <w:rPr>
          <w:rFonts w:cs="EU Albertina"/>
          <w:color w:val="000000"/>
          <w:szCs w:val="22"/>
        </w:rPr>
        <w:t>i</w:t>
      </w:r>
      <w:r w:rsidRPr="008B5527" w:rsidR="001B0873">
        <w:rPr>
          <w:rFonts w:cs="EU Albertina"/>
          <w:color w:val="000000"/>
          <w:szCs w:val="22"/>
        </w:rPr>
        <w:t>, kteří zajišť</w:t>
      </w:r>
      <w:r w:rsidR="000F6F3D">
        <w:rPr>
          <w:rFonts w:cs="EU Albertina"/>
          <w:color w:val="000000"/>
          <w:szCs w:val="22"/>
        </w:rPr>
        <w:t>ují</w:t>
      </w:r>
      <w:r w:rsidRPr="008B5527" w:rsidR="001B0873">
        <w:rPr>
          <w:rFonts w:cs="EU Albertina"/>
          <w:color w:val="000000"/>
          <w:szCs w:val="22"/>
        </w:rPr>
        <w:t xml:space="preserve"> povinnosti prostřednictvím </w:t>
      </w:r>
      <w:r w:rsidR="000F6F3D">
        <w:rPr>
          <w:rFonts w:cs="EU Albertina"/>
          <w:color w:val="000000"/>
          <w:szCs w:val="22"/>
        </w:rPr>
        <w:t xml:space="preserve">kolektivního systému nesou náklady na osvětové kampaně v plné míře. </w:t>
      </w:r>
      <w:r w:rsidR="001B0873">
        <w:rPr>
          <w:rFonts w:cs="EU Albertina"/>
          <w:color w:val="000000"/>
          <w:szCs w:val="22"/>
        </w:rPr>
        <w:t xml:space="preserve"> </w:t>
      </w:r>
    </w:p>
    <w:p w:rsidR="000A6A75" w:rsidP="00D61EC8" w14:paraId="6B96CFE7" w14:textId="769AE98F">
      <w:pPr>
        <w:rPr>
          <w:rFonts w:cs="EU Albertina"/>
          <w:color w:val="000000"/>
          <w:szCs w:val="22"/>
        </w:rPr>
      </w:pPr>
      <w:r w:rsidRPr="006C6E47">
        <w:rPr>
          <w:rFonts w:cs="EU Albertina"/>
          <w:color w:val="000000"/>
          <w:szCs w:val="22"/>
        </w:rPr>
        <w:t xml:space="preserve">Stanovením jednotných pravidel pro informační kampaně </w:t>
      </w:r>
      <w:r w:rsidRPr="006C6E47" w:rsidR="00B032D5">
        <w:rPr>
          <w:rFonts w:cs="EU Albertina"/>
          <w:color w:val="000000"/>
          <w:szCs w:val="22"/>
        </w:rPr>
        <w:t>by se tedy mělo předejít p</w:t>
      </w:r>
      <w:r w:rsidRPr="006C6E47" w:rsidR="001B0873">
        <w:rPr>
          <w:rFonts w:cs="EU Albertina"/>
          <w:color w:val="000000"/>
          <w:szCs w:val="22"/>
        </w:rPr>
        <w:t>roblém</w:t>
      </w:r>
      <w:r w:rsidRPr="006C6E47" w:rsidR="00B032D5">
        <w:rPr>
          <w:rFonts w:cs="EU Albertina"/>
          <w:color w:val="000000"/>
          <w:szCs w:val="22"/>
        </w:rPr>
        <w:t>ům z důvodu</w:t>
      </w:r>
      <w:r w:rsidRPr="006C6E47" w:rsidR="001B0873">
        <w:rPr>
          <w:rFonts w:cs="EU Albertina"/>
          <w:color w:val="000000"/>
          <w:szCs w:val="22"/>
        </w:rPr>
        <w:t xml:space="preserve"> rozdíln</w:t>
      </w:r>
      <w:r w:rsidRPr="006C6E47" w:rsidR="00B032D5">
        <w:rPr>
          <w:rFonts w:cs="EU Albertina"/>
          <w:color w:val="000000"/>
          <w:szCs w:val="22"/>
        </w:rPr>
        <w:t>ého</w:t>
      </w:r>
      <w:r w:rsidRPr="006C6E47" w:rsidR="001B0873">
        <w:rPr>
          <w:rFonts w:cs="EU Albertina"/>
          <w:color w:val="000000"/>
          <w:szCs w:val="22"/>
        </w:rPr>
        <w:t xml:space="preserve"> způsob</w:t>
      </w:r>
      <w:r w:rsidRPr="006C6E47" w:rsidR="00B032D5">
        <w:rPr>
          <w:rFonts w:cs="EU Albertina"/>
          <w:color w:val="000000"/>
          <w:szCs w:val="22"/>
        </w:rPr>
        <w:t>u</w:t>
      </w:r>
      <w:r w:rsidRPr="006C6E47" w:rsidR="001B0873">
        <w:rPr>
          <w:rFonts w:cs="EU Albertina"/>
          <w:color w:val="000000"/>
          <w:szCs w:val="22"/>
        </w:rPr>
        <w:t xml:space="preserve"> a úrov</w:t>
      </w:r>
      <w:r w:rsidRPr="006C6E47" w:rsidR="00B032D5">
        <w:rPr>
          <w:rFonts w:cs="EU Albertina"/>
          <w:color w:val="000000"/>
          <w:szCs w:val="22"/>
        </w:rPr>
        <w:t>ně</w:t>
      </w:r>
      <w:r w:rsidRPr="006C6E47" w:rsidR="001B0873">
        <w:rPr>
          <w:rFonts w:cs="EU Albertina"/>
          <w:color w:val="000000"/>
          <w:szCs w:val="22"/>
        </w:rPr>
        <w:t xml:space="preserve"> </w:t>
      </w:r>
      <w:r w:rsidRPr="006C6E47" w:rsidR="001B0873">
        <w:t xml:space="preserve">vedení informačních kampaní </w:t>
      </w:r>
      <w:r w:rsidRPr="006C6E47" w:rsidR="001B0873">
        <w:rPr>
          <w:rFonts w:cs="EU Albertina"/>
          <w:color w:val="000000"/>
          <w:szCs w:val="22"/>
        </w:rPr>
        <w:t xml:space="preserve">mezi jednotlivými výrobci </w:t>
      </w:r>
      <w:r w:rsidR="000F6F3D">
        <w:rPr>
          <w:rFonts w:cs="EU Albertina"/>
          <w:color w:val="000000"/>
          <w:szCs w:val="22"/>
        </w:rPr>
        <w:t>a</w:t>
      </w:r>
      <w:r w:rsidRPr="006C6E47" w:rsidR="001B0873">
        <w:rPr>
          <w:rFonts w:cs="EU Albertina"/>
          <w:color w:val="000000"/>
          <w:szCs w:val="22"/>
        </w:rPr>
        <w:t xml:space="preserve"> </w:t>
      </w:r>
      <w:r w:rsidR="000F6F3D">
        <w:rPr>
          <w:rFonts w:cs="EU Albertina"/>
          <w:color w:val="000000"/>
          <w:szCs w:val="22"/>
        </w:rPr>
        <w:t>autorizovanou obalovou společností</w:t>
      </w:r>
      <w:r w:rsidRPr="006C6E47" w:rsidR="006C6E47">
        <w:rPr>
          <w:rFonts w:cs="EU Albertina"/>
          <w:color w:val="000000"/>
          <w:szCs w:val="22"/>
        </w:rPr>
        <w:t xml:space="preserve">, což </w:t>
      </w:r>
      <w:r w:rsidRPr="006C6E47" w:rsidR="001B0873">
        <w:rPr>
          <w:rFonts w:cs="EU Albertina"/>
          <w:color w:val="000000"/>
          <w:szCs w:val="22"/>
        </w:rPr>
        <w:t>má samozřejmě také vliv na množství vynaložených finančních prostředků na</w:t>
      </w:r>
      <w:r w:rsidRPr="006C6E47" w:rsidR="00AB14CA">
        <w:rPr>
          <w:rFonts w:cs="EU Albertina"/>
          <w:color w:val="000000"/>
          <w:szCs w:val="22"/>
        </w:rPr>
        <w:t> </w:t>
      </w:r>
      <w:r w:rsidRPr="006C6E47" w:rsidR="001B0873">
        <w:rPr>
          <w:rFonts w:cs="EU Albertina"/>
          <w:color w:val="000000"/>
          <w:szCs w:val="22"/>
        </w:rPr>
        <w:t xml:space="preserve">straně výrobců </w:t>
      </w:r>
      <w:r w:rsidRPr="006C6E47" w:rsidR="006C6E47">
        <w:rPr>
          <w:rFonts w:cs="EU Albertina"/>
          <w:color w:val="000000"/>
          <w:szCs w:val="22"/>
        </w:rPr>
        <w:t>a</w:t>
      </w:r>
      <w:r w:rsidRPr="006C6E47" w:rsidR="001B0873">
        <w:rPr>
          <w:rFonts w:cs="EU Albertina"/>
          <w:color w:val="000000"/>
          <w:szCs w:val="22"/>
        </w:rPr>
        <w:t xml:space="preserve"> </w:t>
      </w:r>
      <w:r w:rsidR="000F6F3D">
        <w:rPr>
          <w:rFonts w:cs="EU Albertina"/>
          <w:color w:val="000000"/>
          <w:szCs w:val="22"/>
        </w:rPr>
        <w:t>AOS</w:t>
      </w:r>
      <w:r w:rsidRPr="006C6E47" w:rsidR="001B0873">
        <w:rPr>
          <w:rFonts w:cs="EU Albertina"/>
          <w:color w:val="000000"/>
          <w:szCs w:val="22"/>
        </w:rPr>
        <w:t>.</w:t>
      </w:r>
    </w:p>
    <w:p w:rsidR="001B0873" w:rsidP="00D61EC8" w14:paraId="3115702D" w14:textId="7D1560A5">
      <w:r>
        <w:rPr>
          <w:rFonts w:cs="EU Albertina"/>
          <w:color w:val="000000"/>
          <w:szCs w:val="22"/>
        </w:rPr>
        <w:t xml:space="preserve">Tato vyhláška </w:t>
      </w:r>
      <w:r>
        <w:t xml:space="preserve">by měla pro výrobce </w:t>
      </w:r>
      <w:r w:rsidR="001C0A73">
        <w:t xml:space="preserve">jednorázových </w:t>
      </w:r>
      <w:r>
        <w:t xml:space="preserve">plastových </w:t>
      </w:r>
      <w:r w:rsidR="001C0A73">
        <w:t>obalů</w:t>
      </w:r>
      <w:r>
        <w:t xml:space="preserve"> nastavit jednotné </w:t>
      </w:r>
      <w:r w:rsidR="005E618D">
        <w:t>podmínky</w:t>
      </w:r>
      <w:r>
        <w:t>, aby nedocházelo k rozdílné úrovni vedení kampaní</w:t>
      </w:r>
      <w:r w:rsidR="001C0A73">
        <w:t>,</w:t>
      </w:r>
      <w:r>
        <w:t xml:space="preserve"> a vytvořit tak spravedlivé prostředí pro všechny výrobce</w:t>
      </w:r>
      <w:r w:rsidRPr="00224911">
        <w:t xml:space="preserve"> </w:t>
      </w:r>
      <w:r>
        <w:t>z hlediska alokace nákladů na osvětovou činnost.</w:t>
      </w:r>
    </w:p>
    <w:p w:rsidR="00D61EC8" w:rsidP="00D61EC8" w14:paraId="09A6D5B5" w14:textId="321FAFB2">
      <w:r>
        <w:t xml:space="preserve"> </w:t>
      </w:r>
    </w:p>
    <w:p w:rsidR="00D61EC8" w:rsidRPr="00101B27" w:rsidP="00D61EC8" w14:paraId="09281C65" w14:textId="77777777">
      <w:pPr>
        <w:pStyle w:val="Heading3"/>
      </w:pPr>
      <w:r w:rsidRPr="00D831F4">
        <w:t>Popis cílového stavu</w:t>
      </w:r>
    </w:p>
    <w:p w:rsidR="00144442" w:rsidP="00144442" w14:paraId="43AC35F1" w14:textId="163F1D9E">
      <w:pPr>
        <w:rPr>
          <w:rFonts w:cs="EU Albertina"/>
          <w:color w:val="000000"/>
          <w:szCs w:val="22"/>
        </w:rPr>
      </w:pPr>
      <w:r>
        <w:rPr>
          <w:rFonts w:cs="EU Albertina"/>
          <w:color w:val="000000"/>
          <w:szCs w:val="22"/>
        </w:rPr>
        <w:t>Hlavním cílem je zvýšení i</w:t>
      </w:r>
      <w:r w:rsidRPr="00101B27">
        <w:rPr>
          <w:rFonts w:cs="EU Albertina"/>
          <w:color w:val="000000"/>
          <w:szCs w:val="22"/>
        </w:rPr>
        <w:t>nformova</w:t>
      </w:r>
      <w:r>
        <w:rPr>
          <w:rFonts w:cs="EU Albertina"/>
          <w:color w:val="000000"/>
          <w:szCs w:val="22"/>
        </w:rPr>
        <w:t>nosti</w:t>
      </w:r>
      <w:r w:rsidRPr="00101B27">
        <w:rPr>
          <w:rFonts w:cs="EU Albertina"/>
          <w:color w:val="000000"/>
          <w:szCs w:val="22"/>
        </w:rPr>
        <w:t xml:space="preserve"> </w:t>
      </w:r>
      <w:r>
        <w:rPr>
          <w:rFonts w:cs="EU Albertina"/>
          <w:color w:val="000000"/>
          <w:szCs w:val="22"/>
        </w:rPr>
        <w:t xml:space="preserve">spotřebitelů </w:t>
      </w:r>
      <w:r w:rsidRPr="00101B27">
        <w:rPr>
          <w:rFonts w:cs="EU Albertina"/>
          <w:color w:val="000000"/>
          <w:szCs w:val="22"/>
        </w:rPr>
        <w:t xml:space="preserve">o vhodných způsobech nakládání </w:t>
      </w:r>
      <w:r>
        <w:rPr>
          <w:rFonts w:cs="EU Albertina"/>
          <w:color w:val="000000"/>
          <w:szCs w:val="22"/>
        </w:rPr>
        <w:t xml:space="preserve">a odstraňování </w:t>
      </w:r>
      <w:r w:rsidR="001C0A73">
        <w:rPr>
          <w:rFonts w:cs="EU Albertina"/>
          <w:color w:val="000000"/>
          <w:szCs w:val="22"/>
        </w:rPr>
        <w:t xml:space="preserve">jednorázových </w:t>
      </w:r>
      <w:r>
        <w:rPr>
          <w:rFonts w:cs="EU Albertina"/>
          <w:color w:val="000000"/>
          <w:szCs w:val="22"/>
        </w:rPr>
        <w:t xml:space="preserve">plastových </w:t>
      </w:r>
      <w:r w:rsidR="001C0A73">
        <w:rPr>
          <w:rFonts w:cs="EU Albertina"/>
          <w:color w:val="000000"/>
          <w:szCs w:val="22"/>
        </w:rPr>
        <w:t>obalů</w:t>
      </w:r>
      <w:r w:rsidRPr="00101B27">
        <w:rPr>
          <w:rFonts w:cs="EU Albertina"/>
          <w:color w:val="000000"/>
          <w:szCs w:val="22"/>
        </w:rPr>
        <w:t>, jakož</w:t>
      </w:r>
      <w:r w:rsidR="00276941">
        <w:rPr>
          <w:rFonts w:cs="EU Albertina"/>
          <w:color w:val="000000"/>
          <w:szCs w:val="22"/>
        </w:rPr>
        <w:t>to</w:t>
      </w:r>
      <w:r w:rsidRPr="00101B27">
        <w:rPr>
          <w:rFonts w:cs="EU Albertina"/>
          <w:color w:val="000000"/>
          <w:szCs w:val="22"/>
        </w:rPr>
        <w:t xml:space="preserve"> i o nepříznivých dopadech na</w:t>
      </w:r>
      <w:r>
        <w:rPr>
          <w:rFonts w:cs="EU Albertina"/>
          <w:color w:val="000000"/>
          <w:szCs w:val="22"/>
        </w:rPr>
        <w:t> </w:t>
      </w:r>
      <w:r w:rsidRPr="00101B27">
        <w:rPr>
          <w:rFonts w:cs="EU Albertina"/>
          <w:color w:val="000000"/>
          <w:szCs w:val="22"/>
        </w:rPr>
        <w:t>životní prostředí vyplývajících z</w:t>
      </w:r>
      <w:r>
        <w:rPr>
          <w:rFonts w:cs="EU Albertina"/>
          <w:color w:val="000000"/>
          <w:szCs w:val="22"/>
        </w:rPr>
        <w:t> </w:t>
      </w:r>
      <w:r w:rsidRPr="00101B27">
        <w:rPr>
          <w:rFonts w:cs="EU Albertina"/>
          <w:color w:val="000000"/>
          <w:szCs w:val="22"/>
        </w:rPr>
        <w:t>je</w:t>
      </w:r>
      <w:r>
        <w:rPr>
          <w:rFonts w:cs="EU Albertina"/>
          <w:color w:val="000000"/>
          <w:szCs w:val="22"/>
        </w:rPr>
        <w:t>jich</w:t>
      </w:r>
      <w:r w:rsidRPr="00101B27">
        <w:rPr>
          <w:rFonts w:cs="EU Albertina"/>
          <w:color w:val="000000"/>
          <w:szCs w:val="22"/>
        </w:rPr>
        <w:t xml:space="preserve"> </w:t>
      </w:r>
      <w:r>
        <w:rPr>
          <w:rFonts w:cs="EU Albertina"/>
          <w:color w:val="000000"/>
          <w:szCs w:val="22"/>
        </w:rPr>
        <w:t>odstraňování</w:t>
      </w:r>
      <w:r w:rsidRPr="00101B27">
        <w:rPr>
          <w:rFonts w:cs="EU Albertina"/>
          <w:color w:val="000000"/>
          <w:szCs w:val="22"/>
        </w:rPr>
        <w:t xml:space="preserve"> mimo </w:t>
      </w:r>
      <w:r w:rsidR="00D82170">
        <w:rPr>
          <w:rFonts w:cs="EU Albertina"/>
          <w:color w:val="000000"/>
          <w:szCs w:val="22"/>
        </w:rPr>
        <w:t>systém tříděného sběru</w:t>
      </w:r>
      <w:r w:rsidRPr="00101B27">
        <w:rPr>
          <w:rFonts w:cs="EU Albertina"/>
          <w:color w:val="000000"/>
          <w:szCs w:val="22"/>
        </w:rPr>
        <w:t>.</w:t>
      </w:r>
      <w:r>
        <w:rPr>
          <w:rFonts w:cs="EU Albertina"/>
          <w:color w:val="000000"/>
          <w:szCs w:val="22"/>
        </w:rPr>
        <w:t xml:space="preserve"> </w:t>
      </w:r>
      <w:r w:rsidR="00C241A2">
        <w:rPr>
          <w:rFonts w:eastAsia="Calibri" w:cs="Arial"/>
          <w:szCs w:val="22"/>
        </w:rPr>
        <w:t>Informačními kampaněmi zaměřenými na spotřebitele</w:t>
      </w:r>
      <w:r w:rsidRPr="00144442">
        <w:rPr>
          <w:rFonts w:eastAsia="Calibri" w:cs="Arial"/>
          <w:szCs w:val="22"/>
        </w:rPr>
        <w:t xml:space="preserve"> by mělo</w:t>
      </w:r>
      <w:r w:rsidRPr="00144442">
        <w:rPr>
          <w:rFonts w:cs="EU Albertina"/>
          <w:color w:val="000000"/>
          <w:szCs w:val="22"/>
        </w:rPr>
        <w:t xml:space="preserve"> dojít k</w:t>
      </w:r>
      <w:r w:rsidR="009D0C1E">
        <w:rPr>
          <w:rFonts w:cs="EU Albertina"/>
          <w:color w:val="000000"/>
          <w:szCs w:val="22"/>
        </w:rPr>
        <w:t xml:space="preserve">e snížení míry litteringu z těchto </w:t>
      </w:r>
      <w:r w:rsidR="001C0A73">
        <w:rPr>
          <w:rFonts w:cs="EU Albertina"/>
          <w:color w:val="000000"/>
          <w:szCs w:val="22"/>
        </w:rPr>
        <w:t>obalů</w:t>
      </w:r>
      <w:r w:rsidR="009D0C1E">
        <w:rPr>
          <w:rFonts w:cs="EU Albertina"/>
          <w:color w:val="000000"/>
          <w:szCs w:val="22"/>
        </w:rPr>
        <w:t xml:space="preserve"> v životním prostředí</w:t>
      </w:r>
      <w:r w:rsidRPr="00144442">
        <w:rPr>
          <w:rFonts w:eastAsia="Calibri" w:cs="Arial"/>
          <w:szCs w:val="22"/>
        </w:rPr>
        <w:t>, což je hlavním cílem opatření, která jsou zaměřená na</w:t>
      </w:r>
      <w:r w:rsidR="00D82170">
        <w:rPr>
          <w:rFonts w:eastAsia="Calibri" w:cs="Arial"/>
          <w:szCs w:val="22"/>
        </w:rPr>
        <w:t> </w:t>
      </w:r>
      <w:r w:rsidRPr="00144442">
        <w:rPr>
          <w:rFonts w:eastAsia="Calibri" w:cs="Arial"/>
          <w:szCs w:val="22"/>
        </w:rPr>
        <w:t>informování konečných uživatelů.</w:t>
      </w:r>
    </w:p>
    <w:p w:rsidR="00144442" w:rsidP="00144442" w14:paraId="11985DFC" w14:textId="2460120C">
      <w:pPr>
        <w:rPr>
          <w:rFonts w:eastAsia="Calibri" w:cs="Arial"/>
          <w:szCs w:val="22"/>
        </w:rPr>
      </w:pPr>
      <w:r>
        <w:t xml:space="preserve">Vyhláška by </w:t>
      </w:r>
      <w:r w:rsidR="001B0873">
        <w:t xml:space="preserve">tedy </w:t>
      </w:r>
      <w:r>
        <w:t xml:space="preserve">měla pro výrobce </w:t>
      </w:r>
      <w:r w:rsidR="001C0A73">
        <w:rPr>
          <w:rFonts w:cs="EU Albertina"/>
          <w:color w:val="000000"/>
          <w:szCs w:val="22"/>
        </w:rPr>
        <w:t>jednorázových plastových obalů</w:t>
      </w:r>
      <w:r>
        <w:t xml:space="preserve"> </w:t>
      </w:r>
      <w:r w:rsidR="001B0873">
        <w:t>sjednotit požadavky</w:t>
      </w:r>
      <w:r>
        <w:t xml:space="preserve">, aby nedocházelo k rozdílné úrovni </w:t>
      </w:r>
      <w:r w:rsidR="005E5B52">
        <w:t xml:space="preserve">vedení kampaní </w:t>
      </w:r>
      <w:r>
        <w:t>a vytvořit tak spravedlivé prostředí pro všechny výrobce</w:t>
      </w:r>
      <w:r w:rsidRPr="00224911">
        <w:t xml:space="preserve"> </w:t>
      </w:r>
      <w:r>
        <w:t>z hlediska alokace nákladů</w:t>
      </w:r>
      <w:r w:rsidR="005E5B52">
        <w:t xml:space="preserve"> na osvětovou činnost</w:t>
      </w:r>
      <w:r>
        <w:t xml:space="preserve">. </w:t>
      </w:r>
      <w:r w:rsidRPr="00144442">
        <w:rPr>
          <w:rFonts w:cs="Arial"/>
        </w:rPr>
        <w:t>Vyhláška by měla</w:t>
      </w:r>
      <w:r w:rsidRPr="00144442" w:rsidR="00386BF7">
        <w:rPr>
          <w:rFonts w:cs="Arial"/>
        </w:rPr>
        <w:t xml:space="preserve"> obsahovat náležitosti a minimální požadavky na použití různých mediálních kanálů a</w:t>
      </w:r>
      <w:r w:rsidRPr="00144442" w:rsidR="005E5B52">
        <w:rPr>
          <w:rFonts w:cs="Arial"/>
        </w:rPr>
        <w:t> </w:t>
      </w:r>
      <w:r w:rsidRPr="00144442" w:rsidR="00386BF7">
        <w:rPr>
          <w:rFonts w:cs="Arial"/>
        </w:rPr>
        <w:t xml:space="preserve">prostředků s cílem </w:t>
      </w:r>
      <w:r w:rsidRPr="00144442" w:rsidR="00386BF7">
        <w:rPr>
          <w:rFonts w:cs="Arial"/>
        </w:rPr>
        <w:t>působit na změnu chování spotřebitelů</w:t>
      </w:r>
      <w:r w:rsidR="00276941">
        <w:rPr>
          <w:rFonts w:cs="Arial"/>
        </w:rPr>
        <w:t xml:space="preserve"> s důrazem </w:t>
      </w:r>
      <w:r w:rsidRPr="00144442" w:rsidR="00386BF7">
        <w:rPr>
          <w:rFonts w:cs="Arial"/>
        </w:rPr>
        <w:t>na</w:t>
      </w:r>
      <w:r w:rsidR="001C0A73">
        <w:rPr>
          <w:rFonts w:cs="Arial"/>
        </w:rPr>
        <w:t> </w:t>
      </w:r>
      <w:r w:rsidRPr="00144442" w:rsidR="00386BF7">
        <w:rPr>
          <w:rFonts w:cs="Arial"/>
        </w:rPr>
        <w:t>oslovení zejména mladší generac</w:t>
      </w:r>
      <w:r w:rsidR="00276941">
        <w:rPr>
          <w:rFonts w:cs="Arial"/>
        </w:rPr>
        <w:t>e, kde je největší pravděpodobnost změny spotřebitelského chování</w:t>
      </w:r>
      <w:r w:rsidRPr="00144442" w:rsidR="00386BF7">
        <w:rPr>
          <w:rFonts w:cs="Arial"/>
        </w:rPr>
        <w:t>.</w:t>
      </w:r>
      <w:r w:rsidRPr="00144442">
        <w:rPr>
          <w:rFonts w:eastAsia="Calibri" w:cs="Arial"/>
          <w:szCs w:val="22"/>
        </w:rPr>
        <w:t xml:space="preserve"> </w:t>
      </w:r>
    </w:p>
    <w:p w:rsidR="003D02B3" w:rsidP="003D02B3" w14:paraId="05D90242" w14:textId="77777777">
      <w:pPr>
        <w:rPr>
          <w:rFonts w:cs="EU Albertina"/>
          <w:color w:val="000000"/>
          <w:szCs w:val="22"/>
        </w:rPr>
      </w:pPr>
    </w:p>
    <w:p w:rsidR="003D02B3" w:rsidRPr="006163F0" w:rsidP="003D02B3" w14:paraId="7138629C" w14:textId="77777777">
      <w:pPr>
        <w:pStyle w:val="Heading3"/>
      </w:pPr>
      <w:bookmarkStart w:id="33" w:name="_Toc70922815"/>
      <w:r w:rsidRPr="00EC503A">
        <w:t>Zhodnocení rizika</w:t>
      </w:r>
      <w:bookmarkEnd w:id="33"/>
    </w:p>
    <w:p w:rsidR="003D02B3" w:rsidP="003D02B3" w14:paraId="1B2BE333" w14:textId="051ED0BB">
      <w:pPr>
        <w:rPr>
          <w:rFonts w:cs="EU Albertina"/>
          <w:color w:val="000000"/>
          <w:szCs w:val="22"/>
        </w:rPr>
      </w:pPr>
      <w:r>
        <w:t>V případě nedostatečné informovanosti spotřebitelů může být s</w:t>
      </w:r>
      <w:r w:rsidR="005E5B52">
        <w:t> </w:t>
      </w:r>
      <w:r w:rsidR="001C0A73">
        <w:rPr>
          <w:rFonts w:cs="EU Albertina"/>
          <w:color w:val="000000"/>
          <w:szCs w:val="22"/>
        </w:rPr>
        <w:t>jednorázovými plastovými obaly</w:t>
      </w:r>
      <w:r>
        <w:rPr>
          <w:rFonts w:cs="EU Albertina"/>
          <w:color w:val="000000"/>
          <w:szCs w:val="22"/>
        </w:rPr>
        <w:t xml:space="preserve"> </w:t>
      </w:r>
      <w:r w:rsidRPr="00D82170">
        <w:rPr>
          <w:rFonts w:cs="EU Albertina"/>
          <w:color w:val="000000"/>
          <w:szCs w:val="22"/>
        </w:rPr>
        <w:t xml:space="preserve">nakládáno nevhodným způsobem, čímž se např. zvýší náklady na úklid </w:t>
      </w:r>
      <w:r w:rsidRPr="00D82170" w:rsidR="00737DD1">
        <w:rPr>
          <w:rFonts w:cs="EU Albertina"/>
          <w:color w:val="000000"/>
          <w:szCs w:val="22"/>
        </w:rPr>
        <w:t xml:space="preserve">odpadků z těchto </w:t>
      </w:r>
      <w:r w:rsidR="001C0A73">
        <w:rPr>
          <w:rFonts w:cs="EU Albertina"/>
          <w:color w:val="000000"/>
          <w:szCs w:val="22"/>
        </w:rPr>
        <w:t>obalů</w:t>
      </w:r>
      <w:r w:rsidRPr="00D82170" w:rsidR="005E5B52">
        <w:rPr>
          <w:rFonts w:cs="EU Albertina"/>
          <w:color w:val="000000"/>
          <w:szCs w:val="22"/>
        </w:rPr>
        <w:t xml:space="preserve"> </w:t>
      </w:r>
      <w:r w:rsidRPr="00D82170">
        <w:rPr>
          <w:rFonts w:cs="EU Albertina"/>
          <w:color w:val="000000"/>
          <w:szCs w:val="22"/>
        </w:rPr>
        <w:t>pohozených volně v p</w:t>
      </w:r>
      <w:r w:rsidR="009D6B5E">
        <w:rPr>
          <w:rFonts w:cs="EU Albertina"/>
          <w:color w:val="000000"/>
          <w:szCs w:val="22"/>
        </w:rPr>
        <w:t>řírodě</w:t>
      </w:r>
      <w:r w:rsidRPr="00D82170">
        <w:rPr>
          <w:rFonts w:cs="EU Albertina"/>
          <w:color w:val="000000"/>
          <w:szCs w:val="22"/>
        </w:rPr>
        <w:t xml:space="preserve">, kde </w:t>
      </w:r>
      <w:r w:rsidRPr="00D82170" w:rsidR="005E5B52">
        <w:rPr>
          <w:rFonts w:cs="EU Albertina"/>
          <w:color w:val="000000"/>
          <w:szCs w:val="22"/>
        </w:rPr>
        <w:t>představují</w:t>
      </w:r>
      <w:r w:rsidRPr="00D82170">
        <w:rPr>
          <w:rFonts w:cs="EU Albertina"/>
          <w:color w:val="000000"/>
          <w:szCs w:val="22"/>
        </w:rPr>
        <w:t xml:space="preserve"> </w:t>
      </w:r>
      <w:r w:rsidR="00905B4A">
        <w:rPr>
          <w:rFonts w:cs="EU Albertina"/>
          <w:color w:val="000000"/>
          <w:szCs w:val="22"/>
        </w:rPr>
        <w:t xml:space="preserve">významnou </w:t>
      </w:r>
      <w:r w:rsidRPr="00D82170">
        <w:rPr>
          <w:rFonts w:cs="EU Albertina"/>
          <w:color w:val="000000"/>
          <w:szCs w:val="22"/>
        </w:rPr>
        <w:t>zátěž pro životní prostředí</w:t>
      </w:r>
      <w:r w:rsidR="000309D4">
        <w:rPr>
          <w:rFonts w:cs="EU Albertina"/>
          <w:color w:val="000000"/>
          <w:szCs w:val="22"/>
        </w:rPr>
        <w:t>.</w:t>
      </w:r>
      <w:r w:rsidR="00905B4A">
        <w:rPr>
          <w:rFonts w:eastAsia="Calibri" w:cs="Arial"/>
          <w:szCs w:val="22"/>
        </w:rPr>
        <w:t xml:space="preserve">  </w:t>
      </w:r>
    </w:p>
    <w:p w:rsidR="003D02B3" w:rsidRPr="003E5328" w:rsidP="003D02B3" w14:paraId="7DB7DDFC" w14:textId="77777777"/>
    <w:p w:rsidR="003D02B3" w:rsidRPr="003E5328" w:rsidP="003D02B3" w14:paraId="11CC112C" w14:textId="77777777">
      <w:pPr>
        <w:pStyle w:val="Heading3"/>
      </w:pPr>
      <w:bookmarkStart w:id="34" w:name="_Toc44665275"/>
      <w:bookmarkStart w:id="35" w:name="_Toc70922816"/>
      <w:r w:rsidRPr="003E5328">
        <w:t>Popis existujícího právního stavu v dané oblasti</w:t>
      </w:r>
      <w:bookmarkEnd w:id="34"/>
      <w:bookmarkEnd w:id="35"/>
    </w:p>
    <w:p w:rsidR="00361E09" w:rsidP="00361E09" w14:paraId="0FEE4BFF" w14:textId="3257B9E9">
      <w:bookmarkStart w:id="36" w:name="_Hlk57827673"/>
      <w:r>
        <w:t xml:space="preserve">Zákon </w:t>
      </w:r>
      <w:r w:rsidR="001C0A73">
        <w:t>o obalech</w:t>
      </w:r>
      <w:r>
        <w:t xml:space="preserve"> blíže nestanovuje minimální rozsah a způsob vedení či realizace informačních kampaní a jejich </w:t>
      </w:r>
      <w:r w:rsidRPr="00700004">
        <w:t>zaměření na konkrétní cílové skupiny konečných uživatelů</w:t>
      </w:r>
      <w:r>
        <w:t xml:space="preserve">. Vyhláška by tedy </w:t>
      </w:r>
      <w:r w:rsidR="00B0361D">
        <w:t xml:space="preserve">měla </w:t>
      </w:r>
      <w:r>
        <w:t xml:space="preserve">v rámci zákonného zmocnění </w:t>
      </w:r>
      <w:r w:rsidR="00B0361D">
        <w:t>stanovit tyto požadavky.</w:t>
      </w:r>
    </w:p>
    <w:p w:rsidR="00361E09" w:rsidP="00361E09" w14:paraId="55F5FE0F" w14:textId="028736F6">
      <w:pPr>
        <w:rPr>
          <w:rFonts w:cs="Arial"/>
        </w:rPr>
      </w:pPr>
      <w:r w:rsidRPr="007A3278">
        <w:rPr>
          <w:rFonts w:cs="EU Albertina"/>
          <w:color w:val="000000"/>
          <w:szCs w:val="22"/>
        </w:rPr>
        <w:t xml:space="preserve">Výrobci </w:t>
      </w:r>
      <w:r>
        <w:rPr>
          <w:rFonts w:cs="EU Albertina"/>
          <w:color w:val="000000"/>
          <w:szCs w:val="22"/>
        </w:rPr>
        <w:t xml:space="preserve">mají dle zákona </w:t>
      </w:r>
      <w:r w:rsidR="001C0A73">
        <w:t xml:space="preserve">o obalech </w:t>
      </w:r>
      <w:r w:rsidRPr="007A3278">
        <w:rPr>
          <w:rFonts w:cs="EU Albertina"/>
          <w:color w:val="000000"/>
          <w:szCs w:val="22"/>
        </w:rPr>
        <w:t>povinnost provádět osvětovou či informační činnost</w:t>
      </w:r>
      <w:r w:rsidRPr="008B5527">
        <w:rPr>
          <w:rFonts w:cs="EU Albertina"/>
          <w:color w:val="000000"/>
          <w:szCs w:val="22"/>
        </w:rPr>
        <w:t xml:space="preserve"> </w:t>
      </w:r>
      <w:r w:rsidRPr="003D02B3">
        <w:rPr>
          <w:rFonts w:cs="Arial"/>
        </w:rPr>
        <w:t>spotřebitelů</w:t>
      </w:r>
      <w:r>
        <w:rPr>
          <w:rFonts w:cs="Arial"/>
        </w:rPr>
        <w:t xml:space="preserve"> za účelem </w:t>
      </w:r>
      <w:r w:rsidRPr="003D02B3">
        <w:rPr>
          <w:rFonts w:cs="Arial"/>
        </w:rPr>
        <w:t>podnícení odpovědného spotřebitelského chová</w:t>
      </w:r>
      <w:r>
        <w:rPr>
          <w:rFonts w:cs="Arial"/>
        </w:rPr>
        <w:t xml:space="preserve">ní, a tím </w:t>
      </w:r>
      <w:r w:rsidRPr="003D02B3">
        <w:rPr>
          <w:rFonts w:cs="Arial"/>
        </w:rPr>
        <w:t>snížení množství odhozených odpadků z</w:t>
      </w:r>
      <w:r>
        <w:rPr>
          <w:rFonts w:cs="Arial"/>
        </w:rPr>
        <w:t> </w:t>
      </w:r>
      <w:r w:rsidR="002D321B">
        <w:rPr>
          <w:rFonts w:cs="EU Albertina"/>
          <w:color w:val="000000"/>
          <w:szCs w:val="22"/>
        </w:rPr>
        <w:t>jednorázových plastových obalů</w:t>
      </w:r>
      <w:r>
        <w:rPr>
          <w:rFonts w:cs="Arial"/>
        </w:rPr>
        <w:t xml:space="preserve">. </w:t>
      </w:r>
    </w:p>
    <w:p w:rsidR="00361E09" w:rsidRPr="003D02B3" w:rsidP="00361E09" w14:paraId="59206FEC" w14:textId="77777777">
      <w:pPr>
        <w:rPr>
          <w:rFonts w:cs="Arial"/>
        </w:rPr>
      </w:pPr>
      <w:r w:rsidRPr="003D02B3">
        <w:rPr>
          <w:rFonts w:cs="Arial"/>
        </w:rPr>
        <w:t>Tato povinnost vychází z článku 10 směrnice SUP</w:t>
      </w:r>
      <w:r>
        <w:rPr>
          <w:rFonts w:cs="Arial"/>
        </w:rPr>
        <w:t>. S</w:t>
      </w:r>
      <w:r w:rsidRPr="003D02B3">
        <w:rPr>
          <w:rFonts w:cs="Arial"/>
        </w:rPr>
        <w:t xml:space="preserve">potřebitelům plastových výrobků na jedno použití uvedených v části G přílohy </w:t>
      </w:r>
      <w:r>
        <w:rPr>
          <w:rFonts w:cs="Arial"/>
        </w:rPr>
        <w:t>musí být poskytnuty</w:t>
      </w:r>
      <w:r w:rsidRPr="003D02B3">
        <w:rPr>
          <w:rFonts w:cs="Arial"/>
        </w:rPr>
        <w:t xml:space="preserve"> informace o: </w:t>
      </w:r>
    </w:p>
    <w:p w:rsidR="00361E09" w:rsidRPr="005544E4" w:rsidP="00610C7D" w14:paraId="4C728ED8" w14:textId="44615471">
      <w:pPr>
        <w:pStyle w:val="ListParagraph"/>
        <w:numPr>
          <w:ilvl w:val="0"/>
          <w:numId w:val="14"/>
        </w:numPr>
        <w:ind w:left="714" w:hanging="357"/>
        <w:rPr>
          <w:rFonts w:cs="Arial"/>
        </w:rPr>
      </w:pPr>
      <w:r w:rsidRPr="005544E4">
        <w:rPr>
          <w:rFonts w:cs="Arial"/>
        </w:rPr>
        <w:t>dostupnosti opětovně použitelných alternativ, systémech opětovného použití uvedených plastových výrobků na jedno použití a o způsobech nakládání s odpady z uvedených plastových výrobků na jedno použití, jakož i o osvědčených postupech řádného nakládání s odpady v souladu s článkem 13 směrnice 2008/98/ES.</w:t>
      </w:r>
    </w:p>
    <w:p w:rsidR="00361E09" w:rsidRPr="005544E4" w:rsidP="00610C7D" w14:paraId="61DED3B3" w14:textId="64F1526F">
      <w:pPr>
        <w:pStyle w:val="ListParagraph"/>
        <w:numPr>
          <w:ilvl w:val="0"/>
          <w:numId w:val="14"/>
        </w:numPr>
        <w:ind w:left="714" w:hanging="357"/>
        <w:rPr>
          <w:rFonts w:cs="Arial"/>
        </w:rPr>
      </w:pPr>
      <w:r w:rsidRPr="005544E4">
        <w:rPr>
          <w:rFonts w:cs="Arial"/>
        </w:rPr>
        <w:t>dopadu odhazování odpadků mimo místa určená k odkládání odpadu a jiného nevhodného odstraňování odpadů z uvedených plastových výrobků na jedno použití na životní prostředí, zejména na mořské prostředí, a</w:t>
      </w:r>
    </w:p>
    <w:p w:rsidR="00361E09" w:rsidRPr="008936EB" w:rsidP="00610C7D" w14:paraId="3C6C750F" w14:textId="77777777">
      <w:pPr>
        <w:pStyle w:val="ListParagraph"/>
        <w:numPr>
          <w:ilvl w:val="0"/>
          <w:numId w:val="14"/>
        </w:numPr>
        <w:ind w:left="714" w:hanging="357"/>
        <w:rPr>
          <w:rFonts w:cs="Arial"/>
        </w:rPr>
      </w:pPr>
      <w:r w:rsidRPr="005544E4">
        <w:rPr>
          <w:rFonts w:cs="Arial"/>
        </w:rPr>
        <w:t>dopadu nevhodných způsobů odstraňování odpadu z plastových výrobků na jedno použití na kanalizační síť.</w:t>
      </w:r>
    </w:p>
    <w:p w:rsidR="00361E09" w:rsidP="00361E09" w14:paraId="27D3A408" w14:textId="6FCA1FBC">
      <w:r>
        <w:t xml:space="preserve">V roce 2018 došlo ke schválení směrnice </w:t>
      </w:r>
      <w:r w:rsidRPr="00BA2D4D">
        <w:t>Evropského parlamentu a Rady 2018/851/EU ze dne 30. května 2018</w:t>
      </w:r>
      <w:r>
        <w:t xml:space="preserve">, kterou se mění směrnice </w:t>
      </w:r>
      <w:r w:rsidRPr="00BA2D4D">
        <w:t>98/2008/ES o odpadech.</w:t>
      </w:r>
      <w:r>
        <w:t xml:space="preserve"> Čl. 8a směrnice o odpadech tak nově stanovuje v odst. 2 povinnost, že č</w:t>
      </w:r>
      <w:r w:rsidRPr="00BA2D4D">
        <w:t xml:space="preserve">lenské státy </w:t>
      </w:r>
      <w:r>
        <w:t xml:space="preserve">musí </w:t>
      </w:r>
      <w:r w:rsidRPr="00BA2D4D">
        <w:t>přijmou</w:t>
      </w:r>
      <w:r>
        <w:t>t</w:t>
      </w:r>
      <w:r w:rsidRPr="00BA2D4D">
        <w:t xml:space="preserve"> </w:t>
      </w:r>
      <w:r w:rsidRPr="00EA5188">
        <w:rPr>
          <w:i/>
        </w:rPr>
        <w:t>nezbytná opatření k zajištění toho, aby držitelé odpadů, na které se zaměřují systémy rozšířené odpovědnosti výrobce zavedené v souladu s</w:t>
      </w:r>
      <w:r>
        <w:rPr>
          <w:i/>
        </w:rPr>
        <w:t xml:space="preserve"> </w:t>
      </w:r>
      <w:r w:rsidRPr="00EA5188">
        <w:rPr>
          <w:i/>
        </w:rPr>
        <w:t>čl.</w:t>
      </w:r>
      <w:r>
        <w:rPr>
          <w:i/>
        </w:rPr>
        <w:t xml:space="preserve"> </w:t>
      </w:r>
      <w:r w:rsidRPr="00EA5188">
        <w:rPr>
          <w:i/>
        </w:rPr>
        <w:t>8 odst. 1, byli informováni o opatřeních na</w:t>
      </w:r>
      <w:r>
        <w:rPr>
          <w:i/>
        </w:rPr>
        <w:t> </w:t>
      </w:r>
      <w:r w:rsidRPr="00EA5188">
        <w:rPr>
          <w:i/>
        </w:rPr>
        <w:t xml:space="preserve">předcházení vzniku odpadů, </w:t>
      </w:r>
      <w:r>
        <w:rPr>
          <w:i/>
        </w:rPr>
        <w:t xml:space="preserve">o </w:t>
      </w:r>
      <w:r w:rsidRPr="00EA5188">
        <w:rPr>
          <w:i/>
        </w:rPr>
        <w:t xml:space="preserve">centrech pro opětovné použití a pro přípravu k opětovnému použití, </w:t>
      </w:r>
      <w:r>
        <w:rPr>
          <w:i/>
        </w:rPr>
        <w:t xml:space="preserve">o </w:t>
      </w:r>
      <w:r w:rsidRPr="00EA5188">
        <w:rPr>
          <w:i/>
        </w:rPr>
        <w:t>systémech zpětného odběru a sběru odpadu a o předcházení znečišťování odpadky</w:t>
      </w:r>
      <w:r>
        <w:t xml:space="preserve"> (</w:t>
      </w:r>
      <w:r>
        <w:t>littering</w:t>
      </w:r>
      <w:r>
        <w:t>). Citovaný čl. 8a evropského předpisu pak v odst. 4 písm. a) dále stanovuje, že dané náklady mají nést právě výrobci. Tento přístup je ostatně plně v souladu s principem rozšířené odpovědnosti výrobce.</w:t>
      </w:r>
    </w:p>
    <w:bookmarkEnd w:id="36"/>
    <w:p w:rsidR="003D02B3" w:rsidRPr="003E5328" w:rsidP="003D02B3" w14:paraId="3A82CB18" w14:textId="77777777">
      <w:r>
        <w:t xml:space="preserve">   </w:t>
      </w:r>
    </w:p>
    <w:p w:rsidR="003D02B3" w:rsidRPr="003E5328" w:rsidP="003D02B3" w14:paraId="46B63AA0" w14:textId="77777777">
      <w:pPr>
        <w:pStyle w:val="Heading3"/>
      </w:pPr>
      <w:bookmarkStart w:id="37" w:name="_Toc44665276"/>
      <w:bookmarkStart w:id="38" w:name="_Toc70922817"/>
      <w:r w:rsidRPr="003E5328">
        <w:t>Identifikace dotčených subjektů</w:t>
      </w:r>
      <w:bookmarkEnd w:id="37"/>
      <w:bookmarkEnd w:id="38"/>
    </w:p>
    <w:p w:rsidR="00452529" w:rsidP="00610C7D" w14:paraId="7D42E547" w14:textId="4DF24727">
      <w:pPr>
        <w:pStyle w:val="ListParagraph"/>
        <w:numPr>
          <w:ilvl w:val="0"/>
          <w:numId w:val="16"/>
        </w:numPr>
      </w:pPr>
      <w:r>
        <w:t xml:space="preserve">Výrobci </w:t>
      </w:r>
      <w:r w:rsidR="00DF6842">
        <w:rPr>
          <w:rFonts w:cs="EU Albertina"/>
          <w:color w:val="000000"/>
          <w:szCs w:val="22"/>
        </w:rPr>
        <w:t>jednorázových plastových obalů</w:t>
      </w:r>
    </w:p>
    <w:p w:rsidR="003D02B3" w:rsidP="00610C7D" w14:paraId="2C691918" w14:textId="2E9023A0">
      <w:pPr>
        <w:pStyle w:val="ListParagraph"/>
        <w:numPr>
          <w:ilvl w:val="0"/>
          <w:numId w:val="16"/>
        </w:numPr>
        <w:ind w:left="714" w:hanging="357"/>
      </w:pPr>
      <w:r>
        <w:t>Autorizovaná obalová společnost</w:t>
      </w:r>
    </w:p>
    <w:p w:rsidR="00452529" w:rsidP="00610C7D" w14:paraId="4F960529" w14:textId="18064B0A">
      <w:pPr>
        <w:pStyle w:val="ListParagraph"/>
        <w:numPr>
          <w:ilvl w:val="0"/>
          <w:numId w:val="16"/>
        </w:numPr>
        <w:ind w:left="714" w:hanging="357"/>
      </w:pPr>
      <w:r>
        <w:t>Spotřebitelé</w:t>
      </w:r>
      <w:r w:rsidR="00AE6579">
        <w:t xml:space="preserve"> (koneční uživatelé)</w:t>
      </w:r>
      <w:r w:rsidR="00DF6842">
        <w:t xml:space="preserve"> výrobků či potravin v</w:t>
      </w:r>
      <w:r w:rsidR="00AE6579">
        <w:t xml:space="preserve"> </w:t>
      </w:r>
      <w:r w:rsidR="00DF6842">
        <w:rPr>
          <w:rFonts w:cs="EU Albertina"/>
          <w:color w:val="000000"/>
          <w:szCs w:val="22"/>
        </w:rPr>
        <w:t>jednorázových plastových obalech</w:t>
      </w:r>
    </w:p>
    <w:p w:rsidR="00FC7A36" w:rsidP="00610C7D" w14:paraId="6BB3DA75" w14:textId="0CFF651E">
      <w:pPr>
        <w:pStyle w:val="ListParagraph"/>
        <w:numPr>
          <w:ilvl w:val="0"/>
          <w:numId w:val="16"/>
        </w:numPr>
        <w:ind w:left="714" w:hanging="357"/>
      </w:pPr>
      <w:r>
        <w:t>Vlastníci pozemků (</w:t>
      </w:r>
      <w:r>
        <w:rPr>
          <w:rFonts w:cs="EU Albertina"/>
          <w:color w:val="000000"/>
          <w:szCs w:val="22"/>
        </w:rPr>
        <w:t>obce, kraje nebo stát) – úklid litteringu</w:t>
      </w:r>
    </w:p>
    <w:p w:rsidR="003D02B3" w:rsidRPr="003E5328" w:rsidP="003D02B3" w14:paraId="56F47A12" w14:textId="77777777"/>
    <w:p w:rsidR="003D02B3" w:rsidRPr="003E5328" w:rsidP="003D02B3" w14:paraId="7BFBE1E5" w14:textId="77777777">
      <w:pPr>
        <w:pStyle w:val="Heading2"/>
      </w:pPr>
      <w:bookmarkStart w:id="39" w:name="_Toc44665279"/>
      <w:bookmarkStart w:id="40" w:name="_Toc70922818"/>
      <w:bookmarkStart w:id="41" w:name="_Toc109829322"/>
      <w:r w:rsidRPr="003E5328">
        <w:t>Návrh variant řešení</w:t>
      </w:r>
      <w:bookmarkEnd w:id="39"/>
      <w:bookmarkEnd w:id="40"/>
      <w:bookmarkEnd w:id="41"/>
    </w:p>
    <w:p w:rsidR="003D02B3" w:rsidRPr="003E5328" w:rsidP="003D02B3" w14:paraId="09161AD6" w14:textId="77777777">
      <w:pPr>
        <w:pStyle w:val="Heading3"/>
      </w:pPr>
      <w:bookmarkStart w:id="42" w:name="_Toc44665280"/>
      <w:bookmarkStart w:id="43" w:name="_Toc59181057"/>
      <w:bookmarkStart w:id="44" w:name="_Toc59181244"/>
      <w:bookmarkStart w:id="45" w:name="_Toc70922819"/>
      <w:r w:rsidRPr="003E5328">
        <w:t>Varianta 0</w:t>
      </w:r>
      <w:bookmarkEnd w:id="42"/>
      <w:bookmarkEnd w:id="43"/>
      <w:bookmarkEnd w:id="44"/>
      <w:bookmarkEnd w:id="45"/>
    </w:p>
    <w:p w:rsidR="003D02B3" w:rsidRPr="003E5328" w:rsidP="003D02B3" w14:paraId="301034F9" w14:textId="688F3D18">
      <w:r>
        <w:t xml:space="preserve">V současnosti není blíže </w:t>
      </w:r>
      <w:r w:rsidR="000A20FD">
        <w:t>definován</w:t>
      </w:r>
      <w:r>
        <w:t xml:space="preserve"> způsob, jakým má být v rámci osvětové činnosti prováděno informování </w:t>
      </w:r>
      <w:r>
        <w:t xml:space="preserve">spotřebitelů </w:t>
      </w:r>
      <w:r w:rsidR="00DF6842">
        <w:rPr>
          <w:rFonts w:cs="EU Albertina"/>
          <w:color w:val="000000"/>
          <w:szCs w:val="22"/>
        </w:rPr>
        <w:t>jednorázových plastových obalů</w:t>
      </w:r>
      <w:r>
        <w:t>.</w:t>
      </w:r>
    </w:p>
    <w:p w:rsidR="003D02B3" w:rsidRPr="003E5328" w:rsidP="003D02B3" w14:paraId="78CCF4E4" w14:textId="77777777">
      <w:pPr>
        <w:pStyle w:val="Heading3"/>
      </w:pPr>
      <w:bookmarkStart w:id="46" w:name="_Toc44665281"/>
      <w:bookmarkStart w:id="47" w:name="_Toc59181058"/>
      <w:bookmarkStart w:id="48" w:name="_Toc59181245"/>
      <w:bookmarkStart w:id="49" w:name="_Toc70922820"/>
      <w:r w:rsidRPr="003E5328">
        <w:t>Varianta 1</w:t>
      </w:r>
      <w:bookmarkEnd w:id="46"/>
      <w:bookmarkEnd w:id="47"/>
      <w:bookmarkEnd w:id="48"/>
      <w:bookmarkEnd w:id="49"/>
    </w:p>
    <w:p w:rsidR="003D02B3" w:rsidRPr="003E5328" w:rsidP="003D02B3" w14:paraId="69DBD71F" w14:textId="50C66B52">
      <w:r>
        <w:t>V</w:t>
      </w:r>
      <w:r>
        <w:t xml:space="preserve">yhláška stanovuje minimální rozsah a způsoby vedení informačních kampaní a jejich </w:t>
      </w:r>
      <w:r w:rsidRPr="00700004">
        <w:t xml:space="preserve">zaměření na konkrétní cílové skupiny </w:t>
      </w:r>
      <w:r w:rsidR="00D82170">
        <w:t>spotřebitelů</w:t>
      </w:r>
      <w:r>
        <w:t xml:space="preserve"> </w:t>
      </w:r>
      <w:r>
        <w:rPr>
          <w:rFonts w:cs="EU Albertina"/>
          <w:color w:val="000000"/>
          <w:szCs w:val="22"/>
        </w:rPr>
        <w:t>jednorázových plastových obalů</w:t>
      </w:r>
      <w:r>
        <w:t>.</w:t>
      </w:r>
    </w:p>
    <w:p w:rsidR="003D02B3" w:rsidRPr="003E5328" w:rsidP="003D02B3" w14:paraId="31D8A9B0" w14:textId="77777777"/>
    <w:p w:rsidR="003D02B3" w:rsidP="003D02B3" w14:paraId="5FF28E37" w14:textId="47C1D367">
      <w:pPr>
        <w:pStyle w:val="Heading2"/>
      </w:pPr>
      <w:bookmarkStart w:id="50" w:name="_Toc44665282"/>
      <w:bookmarkStart w:id="51" w:name="_Toc70922821"/>
      <w:bookmarkStart w:id="52" w:name="_Toc109829323"/>
      <w:r w:rsidRPr="003E5328">
        <w:t>Vyhodnocení nákladů a přínosů</w:t>
      </w:r>
      <w:bookmarkEnd w:id="50"/>
      <w:bookmarkEnd w:id="51"/>
      <w:bookmarkEnd w:id="52"/>
    </w:p>
    <w:p w:rsidR="00A40463" w:rsidRPr="003E5328" w:rsidP="00A40463" w14:paraId="71D7F892" w14:textId="4312C776">
      <w:pPr>
        <w:pStyle w:val="Heading3"/>
        <w:spacing w:after="120"/>
      </w:pPr>
      <w:r>
        <w:t>Identifikace a vyhodnocení nákladů a přínosů</w:t>
      </w:r>
    </w:p>
    <w:p w:rsidR="003D02B3" w:rsidRPr="005E2DD2" w:rsidP="00610C7D" w14:paraId="7746C68B" w14:textId="77777777">
      <w:pPr>
        <w:pStyle w:val="Subtitle"/>
        <w:numPr>
          <w:ilvl w:val="0"/>
          <w:numId w:val="15"/>
        </w:numPr>
      </w:pPr>
      <w:bookmarkStart w:id="53" w:name="_Toc44665283"/>
      <w:bookmarkStart w:id="54" w:name="_Toc59181060"/>
      <w:bookmarkStart w:id="55" w:name="_Toc59181247"/>
      <w:bookmarkStart w:id="56" w:name="_Toc70922822"/>
      <w:bookmarkStart w:id="57" w:name="_Toc109829324"/>
      <w:r w:rsidRPr="003E5328">
        <w:t>Varianta 0</w:t>
      </w:r>
      <w:bookmarkEnd w:id="53"/>
      <w:bookmarkEnd w:id="54"/>
      <w:bookmarkEnd w:id="55"/>
      <w:bookmarkEnd w:id="56"/>
      <w:bookmarkEnd w:id="57"/>
    </w:p>
    <w:p w:rsidR="00AE6579" w:rsidP="003D02B3" w14:paraId="3C50B564" w14:textId="7F4B955E">
      <w:pPr>
        <w:rPr>
          <w:bCs/>
        </w:rPr>
      </w:pPr>
      <w:r w:rsidRPr="003E5328">
        <w:rPr>
          <w:b/>
        </w:rPr>
        <w:t>Dopady na státní rozpočet a ostatní veřejné rozpočty</w:t>
      </w:r>
    </w:p>
    <w:p w:rsidR="003D02B3" w:rsidP="003D02B3" w14:paraId="713BB848" w14:textId="10F63479">
      <w:pPr>
        <w:rPr>
          <w:rFonts w:eastAsia="Calibri" w:cs="Arial"/>
          <w:szCs w:val="22"/>
        </w:rPr>
      </w:pPr>
      <w:r w:rsidRPr="007C0E41">
        <w:rPr>
          <w:bCs/>
        </w:rPr>
        <w:t xml:space="preserve">V případě </w:t>
      </w:r>
      <w:r>
        <w:rPr>
          <w:bCs/>
        </w:rPr>
        <w:t xml:space="preserve">že by vyhláška neupravovala </w:t>
      </w:r>
      <w:r>
        <w:t xml:space="preserve">rozsah a způsob vedení informačních kampaní </w:t>
      </w:r>
      <w:r w:rsidR="00AE6579">
        <w:t>pro výrobce</w:t>
      </w:r>
      <w:r w:rsidR="003100F5">
        <w:rPr>
          <w:rFonts w:cs="EU Albertina"/>
          <w:color w:val="000000"/>
          <w:szCs w:val="22"/>
        </w:rPr>
        <w:t> </w:t>
      </w:r>
      <w:r w:rsidR="00DF6842">
        <w:rPr>
          <w:rFonts w:cs="EU Albertina"/>
          <w:color w:val="000000"/>
          <w:szCs w:val="22"/>
        </w:rPr>
        <w:t>jednorázových plastových obalů</w:t>
      </w:r>
      <w:r>
        <w:rPr>
          <w:rFonts w:cs="EU Albertina"/>
          <w:color w:val="000000"/>
          <w:szCs w:val="22"/>
        </w:rPr>
        <w:t xml:space="preserve">, </w:t>
      </w:r>
      <w:r w:rsidR="00AE6579">
        <w:rPr>
          <w:rFonts w:cs="EU Albertina"/>
          <w:color w:val="000000"/>
          <w:szCs w:val="22"/>
        </w:rPr>
        <w:t xml:space="preserve">hrozí </w:t>
      </w:r>
      <w:r w:rsidRPr="00D82170">
        <w:rPr>
          <w:rFonts w:eastAsia="Calibri" w:cs="Arial"/>
          <w:szCs w:val="22"/>
        </w:rPr>
        <w:t xml:space="preserve">nesplnění </w:t>
      </w:r>
      <w:r w:rsidR="00F26456">
        <w:rPr>
          <w:rFonts w:eastAsia="Calibri" w:cs="Arial"/>
          <w:szCs w:val="22"/>
        </w:rPr>
        <w:t xml:space="preserve">požadavků </w:t>
      </w:r>
      <w:r w:rsidRPr="00D82170">
        <w:rPr>
          <w:rFonts w:eastAsia="Calibri" w:cs="Arial"/>
          <w:szCs w:val="22"/>
        </w:rPr>
        <w:t>směrnic</w:t>
      </w:r>
      <w:r w:rsidRPr="00D82170" w:rsidR="00352946">
        <w:rPr>
          <w:rFonts w:eastAsia="Calibri" w:cs="Arial"/>
          <w:szCs w:val="22"/>
        </w:rPr>
        <w:t>e</w:t>
      </w:r>
      <w:r w:rsidR="00177ABD">
        <w:rPr>
          <w:rFonts w:eastAsia="Calibri" w:cs="Arial"/>
          <w:szCs w:val="22"/>
        </w:rPr>
        <w:t xml:space="preserve"> ohledně </w:t>
      </w:r>
      <w:r w:rsidR="00F26456">
        <w:rPr>
          <w:rFonts w:eastAsia="Calibri" w:cs="Arial"/>
          <w:szCs w:val="22"/>
        </w:rPr>
        <w:t>zajiš</w:t>
      </w:r>
      <w:r w:rsidR="00177ABD">
        <w:rPr>
          <w:rFonts w:eastAsia="Calibri" w:cs="Arial"/>
          <w:szCs w:val="22"/>
        </w:rPr>
        <w:t>tění</w:t>
      </w:r>
      <w:r w:rsidR="00F26456">
        <w:rPr>
          <w:rFonts w:eastAsia="Calibri" w:cs="Arial"/>
          <w:szCs w:val="22"/>
        </w:rPr>
        <w:t xml:space="preserve"> osvětov</w:t>
      </w:r>
      <w:r w:rsidR="00177ABD">
        <w:rPr>
          <w:rFonts w:eastAsia="Calibri" w:cs="Arial"/>
          <w:szCs w:val="22"/>
        </w:rPr>
        <w:t>é</w:t>
      </w:r>
      <w:r w:rsidR="00F26456">
        <w:rPr>
          <w:rFonts w:eastAsia="Calibri" w:cs="Arial"/>
          <w:szCs w:val="22"/>
        </w:rPr>
        <w:t xml:space="preserve"> činnost</w:t>
      </w:r>
      <w:r w:rsidR="00177ABD">
        <w:rPr>
          <w:rFonts w:eastAsia="Calibri" w:cs="Arial"/>
          <w:szCs w:val="22"/>
        </w:rPr>
        <w:t>i, za což</w:t>
      </w:r>
      <w:r w:rsidR="00FC7A36">
        <w:rPr>
          <w:rFonts w:eastAsia="Calibri" w:cs="Arial"/>
          <w:szCs w:val="22"/>
        </w:rPr>
        <w:t xml:space="preserve"> </w:t>
      </w:r>
      <w:r w:rsidRPr="00D82170">
        <w:rPr>
          <w:rFonts w:eastAsia="Calibri" w:cs="Arial"/>
          <w:szCs w:val="22"/>
        </w:rPr>
        <w:t>hrozí Č</w:t>
      </w:r>
      <w:r w:rsidR="009974F7">
        <w:rPr>
          <w:rFonts w:eastAsia="Calibri" w:cs="Arial"/>
          <w:szCs w:val="22"/>
        </w:rPr>
        <w:t>R</w:t>
      </w:r>
      <w:r w:rsidRPr="00D82170">
        <w:t xml:space="preserve"> riziko </w:t>
      </w:r>
      <w:r w:rsidRPr="00D82170">
        <w:t>infringementu</w:t>
      </w:r>
      <w:r w:rsidRPr="00D82170">
        <w:rPr>
          <w:rFonts w:eastAsia="Calibri" w:cs="Arial"/>
          <w:szCs w:val="22"/>
        </w:rPr>
        <w:t xml:space="preserve"> a</w:t>
      </w:r>
      <w:r w:rsidR="00177ABD">
        <w:rPr>
          <w:rFonts w:eastAsia="Calibri" w:cs="Arial"/>
          <w:szCs w:val="22"/>
        </w:rPr>
        <w:t> </w:t>
      </w:r>
      <w:r w:rsidRPr="00D82170">
        <w:rPr>
          <w:rFonts w:eastAsia="Calibri" w:cs="Arial"/>
          <w:szCs w:val="22"/>
        </w:rPr>
        <w:t>následných sankcí ze strany EU.</w:t>
      </w:r>
    </w:p>
    <w:p w:rsidR="008C72CA" w:rsidP="003D02B3" w14:paraId="014126C3" w14:textId="77777777">
      <w:pPr>
        <w:rPr>
          <w:rFonts w:eastAsia="Calibri" w:cs="Arial"/>
          <w:szCs w:val="22"/>
        </w:rPr>
      </w:pPr>
    </w:p>
    <w:p w:rsidR="00317155" w:rsidRPr="003E5328" w:rsidP="00317155" w14:paraId="665AEB0C" w14:textId="77777777">
      <w:pPr>
        <w:keepNext/>
        <w:rPr>
          <w:b/>
        </w:rPr>
      </w:pPr>
      <w:r w:rsidRPr="003E5328">
        <w:rPr>
          <w:b/>
        </w:rPr>
        <w:t>Dopady na podnikatelské prostředí</w:t>
      </w:r>
    </w:p>
    <w:p w:rsidR="00914D5A" w:rsidP="003D02B3" w14:paraId="22F3902D" w14:textId="5E1A9684">
      <w:pPr>
        <w:rPr>
          <w:rFonts w:cs="EU Albertina"/>
          <w:color w:val="000000"/>
          <w:szCs w:val="22"/>
        </w:rPr>
      </w:pPr>
      <w:r w:rsidRPr="0082473E">
        <w:t>Tato varianta nemá dopad</w:t>
      </w:r>
      <w:r>
        <w:t>y</w:t>
      </w:r>
      <w:r w:rsidRPr="0082473E">
        <w:t xml:space="preserve"> na </w:t>
      </w:r>
      <w:r>
        <w:t xml:space="preserve">výrobce </w:t>
      </w:r>
      <w:r w:rsidR="00DF6842">
        <w:rPr>
          <w:rFonts w:cs="EU Albertina"/>
          <w:color w:val="000000"/>
          <w:szCs w:val="22"/>
        </w:rPr>
        <w:t>jednorázových plastových obalů</w:t>
      </w:r>
      <w:r w:rsidR="00DF6842">
        <w:t xml:space="preserve"> </w:t>
      </w:r>
      <w:r w:rsidRPr="0082473E">
        <w:t>v podobě d</w:t>
      </w:r>
      <w:r>
        <w:t>odateč</w:t>
      </w:r>
      <w:r w:rsidRPr="0082473E">
        <w:t>ných nákladů na</w:t>
      </w:r>
      <w:r>
        <w:t> </w:t>
      </w:r>
      <w:r w:rsidRPr="0082473E">
        <w:t>vedení kampaní.</w:t>
      </w:r>
      <w:r>
        <w:t xml:space="preserve"> </w:t>
      </w:r>
      <w:r w:rsidR="00BF0130">
        <w:t>N</w:t>
      </w:r>
      <w:r>
        <w:t>edostatečná osvěta konečných uživatelů může vést k</w:t>
      </w:r>
      <w:r w:rsidR="00FC19BB">
        <w:t xml:space="preserve"> nevhodnému </w:t>
      </w:r>
      <w:r w:rsidR="0066381B">
        <w:t xml:space="preserve">odstraňování </w:t>
      </w:r>
      <w:r w:rsidR="00FC19BB">
        <w:t xml:space="preserve">odpadků z </w:t>
      </w:r>
      <w:r w:rsidR="00182316">
        <w:rPr>
          <w:rFonts w:cs="EU Albertina"/>
          <w:color w:val="000000"/>
          <w:szCs w:val="22"/>
        </w:rPr>
        <w:t>jednorázových plastových obalů</w:t>
      </w:r>
      <w:r w:rsidR="0066381B">
        <w:rPr>
          <w:rFonts w:cs="EU Albertina"/>
          <w:color w:val="000000"/>
          <w:szCs w:val="22"/>
        </w:rPr>
        <w:t>, které pak</w:t>
      </w:r>
      <w:r w:rsidR="00E80063">
        <w:t xml:space="preserve"> končí v životním prostředí.</w:t>
      </w:r>
    </w:p>
    <w:p w:rsidR="003D02B3" w:rsidP="003D02B3" w14:paraId="1B1990AE" w14:textId="3395A459">
      <w:pPr>
        <w:rPr>
          <w:rFonts w:cs="EU Albertina"/>
          <w:color w:val="000000"/>
          <w:szCs w:val="22"/>
        </w:rPr>
      </w:pPr>
      <w:r>
        <w:rPr>
          <w:rFonts w:eastAsia="Calibri" w:cs="Arial"/>
          <w:szCs w:val="22"/>
        </w:rPr>
        <w:t>N</w:t>
      </w:r>
      <w:r>
        <w:rPr>
          <w:rFonts w:cs="EU Albertina"/>
          <w:color w:val="000000"/>
          <w:szCs w:val="22"/>
        </w:rPr>
        <w:t xml:space="preserve">áklady </w:t>
      </w:r>
      <w:r>
        <w:rPr>
          <w:rFonts w:cs="EU Albertina"/>
          <w:color w:val="000000"/>
          <w:szCs w:val="22"/>
        </w:rPr>
        <w:t xml:space="preserve">na odstranění litteringu z jednorázových plastových </w:t>
      </w:r>
      <w:r w:rsidR="00182316">
        <w:rPr>
          <w:rFonts w:cs="EU Albertina"/>
          <w:color w:val="000000"/>
          <w:szCs w:val="22"/>
        </w:rPr>
        <w:t>obalů</w:t>
      </w:r>
      <w:r>
        <w:rPr>
          <w:rFonts w:cs="EU Albertina"/>
          <w:color w:val="000000"/>
          <w:szCs w:val="22"/>
        </w:rPr>
        <w:t xml:space="preserve"> </w:t>
      </w:r>
      <w:r>
        <w:rPr>
          <w:rFonts w:cs="EU Albertina"/>
          <w:color w:val="000000"/>
          <w:szCs w:val="22"/>
        </w:rPr>
        <w:t>nesou vlastníci daných pozemků, zejména obce, kraje nebo stát, a to prostřednictvím státních příspěvkových organizací (např. Ředitelství silnic a dálnic) nebo státních podniků (např. Lesy ČR</w:t>
      </w:r>
      <w:r w:rsidR="00182316">
        <w:rPr>
          <w:rFonts w:cs="EU Albertina"/>
          <w:color w:val="000000"/>
          <w:szCs w:val="22"/>
        </w:rPr>
        <w:t>)</w:t>
      </w:r>
      <w:r>
        <w:rPr>
          <w:rFonts w:cs="EU Albertina"/>
          <w:color w:val="000000"/>
          <w:szCs w:val="22"/>
        </w:rPr>
        <w:t>.</w:t>
      </w:r>
    </w:p>
    <w:p w:rsidR="00317155" w:rsidP="003D02B3" w14:paraId="53AE9537" w14:textId="6B9F3539">
      <w:pPr>
        <w:rPr>
          <w:bCs/>
        </w:rPr>
      </w:pPr>
    </w:p>
    <w:p w:rsidR="00317155" w:rsidRPr="00317155" w:rsidP="003D02B3" w14:paraId="55C9BF2C" w14:textId="656E5747">
      <w:pPr>
        <w:rPr>
          <w:b/>
          <w:bCs/>
        </w:rPr>
      </w:pPr>
      <w:r w:rsidRPr="00317155">
        <w:rPr>
          <w:b/>
          <w:bCs/>
        </w:rPr>
        <w:t>Dopady na životní prostředí</w:t>
      </w:r>
    </w:p>
    <w:p w:rsidR="003D02B3" w:rsidP="003D02B3" w14:paraId="3ED013B1" w14:textId="745B8CB9">
      <w:pPr>
        <w:rPr>
          <w:rFonts w:cs="EU Albertina"/>
          <w:color w:val="000000"/>
          <w:szCs w:val="22"/>
        </w:rPr>
      </w:pPr>
      <w:r w:rsidRPr="007C0E41">
        <w:rPr>
          <w:bCs/>
        </w:rPr>
        <w:t xml:space="preserve">V případě </w:t>
      </w:r>
      <w:r>
        <w:t>nedostatečné informovanosti spotřebitelů (</w:t>
      </w:r>
      <w:r>
        <w:rPr>
          <w:bCs/>
        </w:rPr>
        <w:t xml:space="preserve">pokud nebude upraven </w:t>
      </w:r>
      <w:r>
        <w:t xml:space="preserve">rozsah a způsob vedení informačních kampaní cílených na konečné uživatele) budou i nadále přetrvávat rizika spojená s nevhodným </w:t>
      </w:r>
      <w:r w:rsidR="0066381B">
        <w:rPr>
          <w:rFonts w:cs="EU Albertina"/>
          <w:color w:val="000000"/>
          <w:szCs w:val="22"/>
        </w:rPr>
        <w:t>odstraňováním</w:t>
      </w:r>
      <w:r>
        <w:rPr>
          <w:rFonts w:cs="EU Albertina"/>
          <w:color w:val="000000"/>
          <w:szCs w:val="22"/>
        </w:rPr>
        <w:t> </w:t>
      </w:r>
      <w:r w:rsidR="0066381B">
        <w:rPr>
          <w:rFonts w:cs="EU Albertina"/>
          <w:color w:val="000000"/>
          <w:szCs w:val="22"/>
        </w:rPr>
        <w:t>jednorázových plastových obalů</w:t>
      </w:r>
      <w:r>
        <w:rPr>
          <w:rFonts w:cs="EU Albertina"/>
          <w:color w:val="000000"/>
          <w:szCs w:val="22"/>
        </w:rPr>
        <w:t>,</w:t>
      </w:r>
      <w:r w:rsidR="008C72CA">
        <w:rPr>
          <w:rFonts w:cs="EU Albertina"/>
          <w:color w:val="000000"/>
          <w:szCs w:val="22"/>
        </w:rPr>
        <w:t xml:space="preserve"> </w:t>
      </w:r>
      <w:r w:rsidR="0066381B">
        <w:rPr>
          <w:rFonts w:cs="EU Albertina"/>
          <w:color w:val="000000"/>
          <w:szCs w:val="22"/>
        </w:rPr>
        <w:t>které pak mohou</w:t>
      </w:r>
      <w:r w:rsidR="008C72CA">
        <w:rPr>
          <w:rFonts w:cs="EU Albertina"/>
          <w:color w:val="000000"/>
          <w:szCs w:val="22"/>
        </w:rPr>
        <w:t xml:space="preserve"> </w:t>
      </w:r>
      <w:r>
        <w:rPr>
          <w:rFonts w:cs="EU Albertina"/>
          <w:color w:val="000000"/>
          <w:szCs w:val="22"/>
        </w:rPr>
        <w:t xml:space="preserve">představovat </w:t>
      </w:r>
      <w:r w:rsidR="008C72CA">
        <w:rPr>
          <w:rFonts w:cs="EU Albertina"/>
          <w:color w:val="000000"/>
          <w:szCs w:val="22"/>
        </w:rPr>
        <w:t xml:space="preserve">významnou </w:t>
      </w:r>
      <w:r>
        <w:rPr>
          <w:rFonts w:cs="EU Albertina"/>
          <w:color w:val="000000"/>
          <w:szCs w:val="22"/>
        </w:rPr>
        <w:t>zátěž pro životní prostředí.</w:t>
      </w:r>
    </w:p>
    <w:p w:rsidR="00317155" w:rsidP="003D02B3" w14:paraId="71057EAB" w14:textId="77777777">
      <w:pPr>
        <w:rPr>
          <w:rFonts w:cs="EU Albertina"/>
          <w:color w:val="000000"/>
          <w:szCs w:val="22"/>
        </w:rPr>
      </w:pPr>
    </w:p>
    <w:p w:rsidR="003D02B3" w:rsidRPr="005E2DD2" w:rsidP="00610C7D" w14:paraId="4F9034C8" w14:textId="77777777">
      <w:pPr>
        <w:pStyle w:val="Subtitle"/>
        <w:numPr>
          <w:ilvl w:val="0"/>
          <w:numId w:val="15"/>
        </w:numPr>
      </w:pPr>
      <w:bookmarkStart w:id="58" w:name="_Toc44665284"/>
      <w:bookmarkStart w:id="59" w:name="_Toc59181061"/>
      <w:bookmarkStart w:id="60" w:name="_Toc59181248"/>
      <w:bookmarkStart w:id="61" w:name="_Toc70922823"/>
      <w:bookmarkStart w:id="62" w:name="_Toc109829325"/>
      <w:r w:rsidRPr="003E5328">
        <w:t xml:space="preserve">Varianta </w:t>
      </w:r>
      <w:r>
        <w:t>1</w:t>
      </w:r>
      <w:bookmarkEnd w:id="58"/>
      <w:bookmarkEnd w:id="59"/>
      <w:bookmarkEnd w:id="60"/>
      <w:bookmarkEnd w:id="61"/>
      <w:bookmarkEnd w:id="62"/>
    </w:p>
    <w:p w:rsidR="003D02B3" w:rsidP="003D02B3" w14:paraId="6A45C16F" w14:textId="7EC472B8">
      <w:bookmarkStart w:id="63" w:name="_Hlk109820999"/>
      <w:bookmarkStart w:id="64" w:name="_Hlk49266952"/>
      <w:r w:rsidRPr="00AA28DE">
        <w:t xml:space="preserve">Vyhláška rozvádí povinnost informování </w:t>
      </w:r>
      <w:r w:rsidRPr="00AA28DE" w:rsidR="00815F98">
        <w:t xml:space="preserve">spotřebitelů </w:t>
      </w:r>
      <w:r w:rsidR="00182316">
        <w:rPr>
          <w:rFonts w:cs="EU Albertina"/>
          <w:color w:val="000000"/>
          <w:szCs w:val="22"/>
        </w:rPr>
        <w:t>jednorázových plastových obalů</w:t>
      </w:r>
      <w:r w:rsidRPr="00AA28DE" w:rsidR="00182316">
        <w:t xml:space="preserve"> </w:t>
      </w:r>
      <w:r w:rsidRPr="00AA28DE">
        <w:t>a</w:t>
      </w:r>
      <w:r w:rsidRPr="00AA28DE" w:rsidR="00815F98">
        <w:t> </w:t>
      </w:r>
      <w:r w:rsidRPr="00AA28DE">
        <w:t>stanovuje konkrétní způsoby a informační prostředky, které mají napomoci ke změně postoje konečných uživatelů k nakládání s odpadem z</w:t>
      </w:r>
      <w:r w:rsidRPr="00AA28DE" w:rsidR="000C72C3">
        <w:t> </w:t>
      </w:r>
      <w:bookmarkEnd w:id="63"/>
      <w:r w:rsidR="00182316">
        <w:rPr>
          <w:rFonts w:cs="EU Albertina"/>
          <w:color w:val="000000"/>
          <w:szCs w:val="22"/>
        </w:rPr>
        <w:t>jednorázových plastových obalů</w:t>
      </w:r>
      <w:r w:rsidRPr="00AA28DE">
        <w:t>, zdůrazňovat</w:t>
      </w:r>
      <w:r w:rsidRPr="00AA28DE" w:rsidR="00651392">
        <w:t xml:space="preserve"> důležitost správného nakládání s odpady</w:t>
      </w:r>
      <w:r w:rsidRPr="00AA28DE">
        <w:t xml:space="preserve"> a osobní odpovědnost konečných uživatelů. Dále je definována cílová skupina obyvatelstva, na kterou by se měla osvětová činnost zaměřit, a tou jsou</w:t>
      </w:r>
      <w:r w:rsidRPr="00AA28DE" w:rsidR="00196849">
        <w:t xml:space="preserve"> především</w:t>
      </w:r>
      <w:r w:rsidRPr="00AA28DE">
        <w:t xml:space="preserve"> děti. Kampaně by se měly především zaměřovat na děti ve</w:t>
      </w:r>
      <w:r w:rsidRPr="00AA28DE" w:rsidR="00815F98">
        <w:t> </w:t>
      </w:r>
      <w:r w:rsidRPr="00AA28DE">
        <w:t>věku 6–15 let, neboť u této skupiny je největší pravděpodobnost vzniku nových vzorců chování jako budoucích konečných uživatelů daných výrobků s budoucím pozitivním dopadem na změny</w:t>
      </w:r>
      <w:r>
        <w:t xml:space="preserve"> v nakládání s odpady z</w:t>
      </w:r>
      <w:r w:rsidR="000C72C3">
        <w:t> </w:t>
      </w:r>
      <w:r w:rsidR="00182316">
        <w:rPr>
          <w:rFonts w:cs="EU Albertina"/>
          <w:color w:val="000000"/>
          <w:szCs w:val="22"/>
        </w:rPr>
        <w:t>jednorázových plastových obalů</w:t>
      </w:r>
      <w:r>
        <w:t xml:space="preserve">. Výrobci a </w:t>
      </w:r>
      <w:r w:rsidR="00182316">
        <w:t>autorizovaná obalová společnost</w:t>
      </w:r>
      <w:r>
        <w:t xml:space="preserve"> tak budou povinni využívat prakticky všechny dostupné informační kanály s tím, že bude ponecháno na jejich volbě, které z těchto kanálů budou </w:t>
      </w:r>
      <w:r w:rsidR="00A75EC7">
        <w:t>upřednostňovat</w:t>
      </w:r>
      <w:r>
        <w:t xml:space="preserve">.  </w:t>
      </w:r>
    </w:p>
    <w:bookmarkEnd w:id="64"/>
    <w:p w:rsidR="00AA2D99" w:rsidP="003D02B3" w14:paraId="7F6ED590" w14:textId="77777777">
      <w:pPr>
        <w:rPr>
          <w:b/>
        </w:rPr>
      </w:pPr>
    </w:p>
    <w:p w:rsidR="003D02B3" w:rsidRPr="003E5328" w:rsidP="003D02B3" w14:paraId="4635FDA0" w14:textId="5333A5DC">
      <w:pPr>
        <w:rPr>
          <w:b/>
        </w:rPr>
      </w:pPr>
      <w:r w:rsidRPr="003E5328">
        <w:rPr>
          <w:b/>
        </w:rPr>
        <w:t>Dopady na státní rozpočet a ostatní veřejné rozpočty</w:t>
      </w:r>
    </w:p>
    <w:p w:rsidR="003D02B3" w:rsidP="003D02B3" w14:paraId="204FC1B0" w14:textId="6E93112A">
      <w:pPr>
        <w:rPr>
          <w:rFonts w:eastAsia="Calibri" w:cs="Arial"/>
          <w:szCs w:val="22"/>
        </w:rPr>
      </w:pPr>
      <w:r w:rsidRPr="00815F98">
        <w:rPr>
          <w:rFonts w:eastAsia="Calibri" w:cs="Arial"/>
          <w:szCs w:val="22"/>
        </w:rPr>
        <w:t xml:space="preserve">Stanovením jasných požadavků na osvětovou a propagační činnost by mělo dojít ke </w:t>
      </w:r>
      <w:r w:rsidRPr="00815F98">
        <w:rPr>
          <w:rFonts w:cs="EU Albertina"/>
          <w:color w:val="000000"/>
          <w:szCs w:val="22"/>
        </w:rPr>
        <w:t xml:space="preserve">zvýšení informovanosti občanů o vhodných způsobech nakládání a odstraňování </w:t>
      </w:r>
      <w:r w:rsidR="003927AE">
        <w:rPr>
          <w:rFonts w:cs="EU Albertina"/>
          <w:color w:val="000000"/>
          <w:szCs w:val="22"/>
        </w:rPr>
        <w:t>jednorázových plastových obalů</w:t>
      </w:r>
      <w:r w:rsidRPr="00815F98">
        <w:rPr>
          <w:rFonts w:eastAsia="Calibri" w:cs="Arial"/>
          <w:szCs w:val="22"/>
        </w:rPr>
        <w:t xml:space="preserve"> a snížení rizika ohledně nesplnění </w:t>
      </w:r>
      <w:r w:rsidRPr="00DA103B" w:rsidR="00AA2D99">
        <w:t>požadavků směrnice</w:t>
      </w:r>
      <w:r w:rsidRPr="00DA103B" w:rsidR="00BA6B20">
        <w:t xml:space="preserve"> SUP</w:t>
      </w:r>
      <w:r w:rsidRPr="00DA103B">
        <w:rPr>
          <w:rFonts w:eastAsia="Calibri" w:cs="Arial"/>
          <w:szCs w:val="22"/>
        </w:rPr>
        <w:t>,</w:t>
      </w:r>
      <w:r w:rsidRPr="00815F98">
        <w:rPr>
          <w:rFonts w:eastAsia="Calibri" w:cs="Arial"/>
          <w:szCs w:val="22"/>
        </w:rPr>
        <w:t xml:space="preserve"> za což hrozí ČR sankce ze strany EU. Opatření nebudou mít dopad na zvýšení nákladů státního rozpočtu.</w:t>
      </w:r>
      <w:r>
        <w:rPr>
          <w:rFonts w:eastAsia="Calibri" w:cs="Arial"/>
          <w:szCs w:val="22"/>
        </w:rPr>
        <w:t xml:space="preserve"> </w:t>
      </w:r>
    </w:p>
    <w:p w:rsidR="003D02B3" w:rsidRPr="003E5328" w:rsidP="003D02B3" w14:paraId="2EC63942" w14:textId="77777777"/>
    <w:p w:rsidR="003D02B3" w:rsidRPr="003E5328" w:rsidP="003D02B3" w14:paraId="058F54EC" w14:textId="77777777">
      <w:pPr>
        <w:keepNext/>
        <w:rPr>
          <w:b/>
        </w:rPr>
      </w:pPr>
      <w:r w:rsidRPr="003E5328">
        <w:rPr>
          <w:b/>
        </w:rPr>
        <w:t>Dopady na podnikatelské prostředí</w:t>
      </w:r>
    </w:p>
    <w:p w:rsidR="003D02B3" w:rsidP="003D02B3" w14:paraId="66B9A132" w14:textId="21D50A0D">
      <w:r w:rsidRPr="00D4344F">
        <w:rPr>
          <w:rFonts w:eastAsia="Calibri" w:cs="Arial"/>
          <w:szCs w:val="22"/>
        </w:rPr>
        <w:t xml:space="preserve">Vyhláška definuje, že pro osvětové aktivity mají výrobci </w:t>
      </w:r>
      <w:r w:rsidR="003927AE">
        <w:rPr>
          <w:rFonts w:cs="EU Albertina"/>
          <w:color w:val="000000"/>
          <w:szCs w:val="22"/>
        </w:rPr>
        <w:t>jednorázových plastových obalů</w:t>
      </w:r>
      <w:r w:rsidRPr="00D4344F" w:rsidR="003927AE">
        <w:rPr>
          <w:rFonts w:eastAsia="Calibri" w:cs="Arial"/>
          <w:szCs w:val="22"/>
        </w:rPr>
        <w:t xml:space="preserve"> </w:t>
      </w:r>
      <w:r w:rsidRPr="00D4344F">
        <w:rPr>
          <w:rFonts w:eastAsia="Calibri" w:cs="Arial"/>
          <w:szCs w:val="22"/>
        </w:rPr>
        <w:t>využít každoročně</w:t>
      </w:r>
      <w:r>
        <w:t xml:space="preserve"> </w:t>
      </w:r>
      <w:r w:rsidR="003927AE">
        <w:rPr>
          <w:rFonts w:cs="Arial"/>
        </w:rPr>
        <w:t>následující</w:t>
      </w:r>
      <w:r w:rsidRPr="006459C8" w:rsidR="0038462B">
        <w:rPr>
          <w:rFonts w:cs="Arial"/>
        </w:rPr>
        <w:t xml:space="preserve"> informační prostředk</w:t>
      </w:r>
      <w:r w:rsidR="003927AE">
        <w:rPr>
          <w:rFonts w:cs="Arial"/>
        </w:rPr>
        <w:t>y</w:t>
      </w:r>
      <w:r w:rsidRPr="006459C8" w:rsidR="0038462B">
        <w:rPr>
          <w:rFonts w:cs="Arial"/>
        </w:rPr>
        <w:t xml:space="preserve"> a způsob</w:t>
      </w:r>
      <w:r w:rsidR="003927AE">
        <w:rPr>
          <w:rFonts w:cs="Arial"/>
        </w:rPr>
        <w:t>y</w:t>
      </w:r>
      <w:r>
        <w:t>:</w:t>
      </w:r>
    </w:p>
    <w:p w:rsidR="003D02B3" w:rsidP="003D02B3" w14:paraId="7A69F598" w14:textId="79AE329D">
      <w:pPr>
        <w:ind w:left="708"/>
      </w:pPr>
      <w:r>
        <w:t xml:space="preserve">a) </w:t>
      </w:r>
      <w:r w:rsidRPr="00CE7AB9">
        <w:t>veřejn</w:t>
      </w:r>
      <w:r>
        <w:t>é</w:t>
      </w:r>
      <w:r w:rsidRPr="00CE7AB9">
        <w:t xml:space="preserve"> sdělovací prostředky s celostátní působností</w:t>
      </w:r>
      <w:r>
        <w:t xml:space="preserve"> </w:t>
      </w:r>
      <w:r w:rsidR="003927AE">
        <w:t xml:space="preserve">tzn. </w:t>
      </w:r>
      <w:r>
        <w:t>televizní nebo r</w:t>
      </w:r>
      <w:r w:rsidR="00AD5705">
        <w:t xml:space="preserve">ozhlasové </w:t>
      </w:r>
      <w:r>
        <w:t>vysílání,</w:t>
      </w:r>
    </w:p>
    <w:p w:rsidR="003D02B3" w:rsidP="003D02B3" w14:paraId="4DFFC0C7" w14:textId="2AD8B9B5">
      <w:pPr>
        <w:ind w:left="708"/>
      </w:pPr>
      <w:r>
        <w:t xml:space="preserve">b) elektronickou komunikaci např. komunikace prostřednictvím sociálních sítí, </w:t>
      </w:r>
      <w:r w:rsidR="00AD5705">
        <w:t xml:space="preserve">internetové </w:t>
      </w:r>
      <w:r>
        <w:t>prezentace</w:t>
      </w:r>
      <w:r w:rsidR="007D1016">
        <w:t xml:space="preserve"> nebo</w:t>
      </w:r>
      <w:r>
        <w:t xml:space="preserve"> bannery,</w:t>
      </w:r>
    </w:p>
    <w:p w:rsidR="003D02B3" w:rsidP="003D02B3" w14:paraId="6793762C" w14:textId="76935F02">
      <w:pPr>
        <w:ind w:left="708"/>
      </w:pPr>
      <w:r>
        <w:t>c) osobní sdělení</w:t>
      </w:r>
      <w:r w:rsidR="003927AE">
        <w:t xml:space="preserve"> např. </w:t>
      </w:r>
      <w:r>
        <w:t xml:space="preserve">školní vzdělávací akce, </w:t>
      </w:r>
      <w:r w:rsidR="00AD5705">
        <w:t>výstavy, veletrhy</w:t>
      </w:r>
      <w:r>
        <w:t>,</w:t>
      </w:r>
    </w:p>
    <w:p w:rsidR="003D02B3" w:rsidP="003D02B3" w14:paraId="1F2954B2" w14:textId="5E3415B6">
      <w:pPr>
        <w:ind w:left="708"/>
      </w:pPr>
      <w:r>
        <w:t xml:space="preserve">d) </w:t>
      </w:r>
      <w:r w:rsidR="00AD5705">
        <w:t xml:space="preserve">periodický </w:t>
      </w:r>
      <w:r>
        <w:t>tisk.</w:t>
      </w:r>
    </w:p>
    <w:p w:rsidR="003927AE" w:rsidP="003D02B3" w14:paraId="2D8DAD02" w14:textId="77777777">
      <w:pPr>
        <w:rPr>
          <w:rFonts w:eastAsia="Calibri" w:cs="Arial"/>
          <w:szCs w:val="22"/>
        </w:rPr>
      </w:pPr>
    </w:p>
    <w:p w:rsidR="003D02B3" w:rsidP="003D02B3" w14:paraId="0FA2FAEC" w14:textId="0EB0BEA0">
      <w:pPr>
        <w:rPr>
          <w:rFonts w:eastAsia="Calibri" w:cs="Arial"/>
          <w:szCs w:val="22"/>
        </w:rPr>
      </w:pPr>
      <w:r>
        <w:rPr>
          <w:rFonts w:eastAsia="Calibri" w:cs="Arial"/>
          <w:szCs w:val="22"/>
        </w:rPr>
        <w:t xml:space="preserve">Náklady na </w:t>
      </w:r>
      <w:r w:rsidRPr="00ED38E9">
        <w:rPr>
          <w:rFonts w:eastAsia="Calibri" w:cs="Arial"/>
          <w:szCs w:val="22"/>
        </w:rPr>
        <w:t>osvětov</w:t>
      </w:r>
      <w:r>
        <w:rPr>
          <w:rFonts w:eastAsia="Calibri" w:cs="Arial"/>
          <w:szCs w:val="22"/>
        </w:rPr>
        <w:t>ou</w:t>
      </w:r>
      <w:r w:rsidRPr="00ED38E9">
        <w:rPr>
          <w:rFonts w:eastAsia="Calibri" w:cs="Arial"/>
          <w:szCs w:val="22"/>
        </w:rPr>
        <w:t xml:space="preserve"> činnost </w:t>
      </w:r>
      <w:r>
        <w:rPr>
          <w:rFonts w:eastAsia="Calibri" w:cs="Arial"/>
          <w:szCs w:val="22"/>
        </w:rPr>
        <w:t xml:space="preserve">prostřednictvím výše uvedených prostředků se liší. </w:t>
      </w:r>
      <w:r w:rsidRPr="00ED38E9">
        <w:rPr>
          <w:rFonts w:eastAsia="Calibri" w:cs="Arial"/>
          <w:szCs w:val="22"/>
        </w:rPr>
        <w:t>Například měsíční nájem billboardu v Praze se dle lokality může pohybovat v rozmezí 3 – 14 tis. Kč. Cena za jeden 30</w:t>
      </w:r>
      <w:r>
        <w:rPr>
          <w:rFonts w:eastAsia="Calibri" w:cs="Arial"/>
          <w:szCs w:val="22"/>
        </w:rPr>
        <w:t> </w:t>
      </w:r>
      <w:r w:rsidRPr="00ED38E9">
        <w:rPr>
          <w:rFonts w:eastAsia="Calibri" w:cs="Arial"/>
          <w:szCs w:val="22"/>
        </w:rPr>
        <w:t>sekundový rozhlasový spot se pohybuje přibližně mezi 3 – 5 tis. Kč. V případě TV spotu se cena odvíjí od procenta cílové skupiny, kter</w:t>
      </w:r>
      <w:r>
        <w:rPr>
          <w:rFonts w:eastAsia="Calibri" w:cs="Arial"/>
          <w:szCs w:val="22"/>
        </w:rPr>
        <w:t>á</w:t>
      </w:r>
      <w:r w:rsidRPr="00ED38E9">
        <w:rPr>
          <w:rFonts w:eastAsia="Calibri" w:cs="Arial"/>
          <w:szCs w:val="22"/>
        </w:rPr>
        <w:t xml:space="preserve"> sleduje danou reklamu. Za půlminutový TV spot, na který se dívá jedno procento z cílové skupiny, se cena pohybuje v nižších řádech desítek tisíc korun v závislosti na vysílacím čase. Mimo výše uveden</w:t>
      </w:r>
      <w:r>
        <w:rPr>
          <w:rFonts w:eastAsia="Calibri" w:cs="Arial"/>
          <w:szCs w:val="22"/>
        </w:rPr>
        <w:t>é</w:t>
      </w:r>
      <w:r w:rsidRPr="00ED38E9">
        <w:rPr>
          <w:rFonts w:eastAsia="Calibri" w:cs="Arial"/>
          <w:szCs w:val="22"/>
        </w:rPr>
        <w:t xml:space="preserve"> náklady na reklamu je zapotřebí počítat i s náklady na výrobu daného typu reklamy</w:t>
      </w:r>
      <w:r>
        <w:rPr>
          <w:rFonts w:eastAsia="Calibri" w:cs="Arial"/>
          <w:szCs w:val="22"/>
          <w:vertAlign w:val="superscript"/>
        </w:rPr>
        <w:footnoteReference w:id="4"/>
      </w:r>
      <w:r w:rsidRPr="00ED38E9">
        <w:rPr>
          <w:rFonts w:eastAsia="Calibri" w:cs="Arial"/>
          <w:szCs w:val="22"/>
        </w:rPr>
        <w:t>.</w:t>
      </w:r>
    </w:p>
    <w:p w:rsidR="00EF20C0" w:rsidP="00EF20C0" w14:paraId="05089A4F" w14:textId="40EDD86D">
      <w:pPr>
        <w:rPr>
          <w:rFonts w:cs="EU Albertina"/>
          <w:color w:val="000000"/>
          <w:szCs w:val="22"/>
        </w:rPr>
      </w:pPr>
      <w:r>
        <w:t>D</w:t>
      </w:r>
      <w:r w:rsidR="003D02B3">
        <w:t xml:space="preserve">efinováním konkrétních požadavků na </w:t>
      </w:r>
      <w:r w:rsidR="003D02B3">
        <w:rPr>
          <w:rFonts w:eastAsia="Calibri" w:cs="Arial"/>
          <w:szCs w:val="22"/>
        </w:rPr>
        <w:t>osvětovou a propagační činnost</w:t>
      </w:r>
      <w:r w:rsidRPr="00F40C69" w:rsidR="003D02B3">
        <w:t xml:space="preserve"> </w:t>
      </w:r>
      <w:r>
        <w:rPr>
          <w:rFonts w:eastAsia="Calibri" w:cs="Arial"/>
          <w:szCs w:val="22"/>
        </w:rPr>
        <w:t>dojde</w:t>
      </w:r>
      <w:r w:rsidR="003D02B3">
        <w:rPr>
          <w:rFonts w:eastAsia="Calibri" w:cs="Arial"/>
          <w:szCs w:val="22"/>
        </w:rPr>
        <w:t xml:space="preserve"> ke </w:t>
      </w:r>
      <w:r w:rsidR="003D02B3">
        <w:t xml:space="preserve">sjednocení podmínek ohledně vedení informačních kampaní pro všechny výrobce i </w:t>
      </w:r>
      <w:r w:rsidR="003927AE">
        <w:t>autorizovanou obalovou společnost</w:t>
      </w:r>
      <w:r>
        <w:t>. Toto opatření by mělo vytvořit spravedlivé prostředí pro všechny výrobce</w:t>
      </w:r>
      <w:r w:rsidRPr="00224911">
        <w:t xml:space="preserve"> </w:t>
      </w:r>
      <w:r>
        <w:t>z hlediska alokace nákladů na osvětovou činnost.</w:t>
      </w:r>
    </w:p>
    <w:p w:rsidR="003D02B3" w:rsidP="009B675B" w14:paraId="439DAC22" w14:textId="779E2E0B">
      <w:pPr>
        <w:rPr>
          <w:rFonts w:cs="EU Albertina"/>
          <w:color w:val="000000"/>
          <w:szCs w:val="22"/>
        </w:rPr>
      </w:pPr>
      <w:r>
        <w:rPr>
          <w:rFonts w:cs="EU Albertina"/>
          <w:color w:val="000000"/>
          <w:szCs w:val="22"/>
        </w:rPr>
        <w:t>Požadavky na způsob osvětové a propagační činnosti bude generovat nové náklady pro výrobce jednorázových plastových obalů, kteří plní své povinnosti individuálně a dosud tyto kampaně neprovozovali.</w:t>
      </w:r>
      <w:r w:rsidR="00A434CA">
        <w:rPr>
          <w:rFonts w:cs="EU Albertina"/>
          <w:color w:val="000000"/>
          <w:szCs w:val="22"/>
        </w:rPr>
        <w:t xml:space="preserve"> </w:t>
      </w:r>
      <w:r>
        <w:rPr>
          <w:rFonts w:cs="EU Albertina"/>
          <w:color w:val="000000"/>
          <w:szCs w:val="22"/>
        </w:rPr>
        <w:t>Naopak a</w:t>
      </w:r>
      <w:r w:rsidR="00381F46">
        <w:rPr>
          <w:rFonts w:cs="EU Albertina"/>
          <w:color w:val="000000"/>
          <w:szCs w:val="22"/>
        </w:rPr>
        <w:t>utorizovan</w:t>
      </w:r>
      <w:r>
        <w:rPr>
          <w:rFonts w:cs="EU Albertina"/>
          <w:color w:val="000000"/>
          <w:szCs w:val="22"/>
        </w:rPr>
        <w:t>á</w:t>
      </w:r>
      <w:r w:rsidR="00381F46">
        <w:rPr>
          <w:rFonts w:cs="EU Albertina"/>
          <w:color w:val="000000"/>
          <w:szCs w:val="22"/>
        </w:rPr>
        <w:t xml:space="preserve"> obalov</w:t>
      </w:r>
      <w:r>
        <w:rPr>
          <w:rFonts w:cs="EU Albertina"/>
          <w:color w:val="000000"/>
          <w:szCs w:val="22"/>
        </w:rPr>
        <w:t>á</w:t>
      </w:r>
      <w:r w:rsidR="00381F46">
        <w:rPr>
          <w:rFonts w:cs="EU Albertina"/>
          <w:color w:val="000000"/>
          <w:szCs w:val="22"/>
        </w:rPr>
        <w:t xml:space="preserve"> společnost</w:t>
      </w:r>
      <w:r>
        <w:rPr>
          <w:rFonts w:cs="EU Albertina"/>
          <w:color w:val="000000"/>
          <w:szCs w:val="22"/>
        </w:rPr>
        <w:t xml:space="preserve"> </w:t>
      </w:r>
      <w:r w:rsidR="004D4789">
        <w:rPr>
          <w:rFonts w:cs="EU Albertina"/>
          <w:color w:val="000000"/>
          <w:szCs w:val="22"/>
        </w:rPr>
        <w:t>vynaklád</w:t>
      </w:r>
      <w:r w:rsidR="0044716A">
        <w:rPr>
          <w:rFonts w:cs="EU Albertina"/>
          <w:color w:val="000000"/>
          <w:szCs w:val="22"/>
        </w:rPr>
        <w:t xml:space="preserve">á </w:t>
      </w:r>
      <w:r w:rsidRPr="008B5527" w:rsidR="004D4789">
        <w:rPr>
          <w:rFonts w:cs="EU Albertina"/>
          <w:color w:val="000000"/>
          <w:szCs w:val="22"/>
        </w:rPr>
        <w:t>na osvětu a</w:t>
      </w:r>
      <w:r w:rsidR="004D4789">
        <w:rPr>
          <w:rFonts w:cs="EU Albertina"/>
          <w:color w:val="000000"/>
          <w:szCs w:val="22"/>
        </w:rPr>
        <w:t> </w:t>
      </w:r>
      <w:r w:rsidRPr="008B5527" w:rsidR="004D4789">
        <w:rPr>
          <w:rFonts w:cs="EU Albertina"/>
          <w:color w:val="000000"/>
          <w:szCs w:val="22"/>
        </w:rPr>
        <w:t xml:space="preserve">vzdělávání konečných uživatelů </w:t>
      </w:r>
      <w:r>
        <w:rPr>
          <w:rFonts w:cs="EU Albertina"/>
          <w:color w:val="000000"/>
          <w:szCs w:val="22"/>
        </w:rPr>
        <w:t>již v současnosti přibližně 2 %</w:t>
      </w:r>
      <w:r w:rsidRPr="008B5527" w:rsidR="004D4789">
        <w:rPr>
          <w:rFonts w:cs="EU Albertina"/>
          <w:color w:val="000000"/>
          <w:szCs w:val="22"/>
        </w:rPr>
        <w:t xml:space="preserve"> ze svého rozpočtu</w:t>
      </w:r>
      <w:r w:rsidR="004D4789">
        <w:rPr>
          <w:rFonts w:cs="EU Albertina"/>
          <w:color w:val="000000"/>
          <w:szCs w:val="22"/>
        </w:rPr>
        <w:t>.</w:t>
      </w:r>
      <w:r>
        <w:rPr>
          <w:rFonts w:cs="EU Albertina"/>
          <w:color w:val="000000"/>
          <w:szCs w:val="22"/>
        </w:rPr>
        <w:t xml:space="preserve"> Na</w:t>
      </w:r>
      <w:r w:rsidR="00A434CA">
        <w:rPr>
          <w:rFonts w:cs="EU Albertina"/>
          <w:color w:val="000000"/>
          <w:szCs w:val="22"/>
        </w:rPr>
        <w:t> </w:t>
      </w:r>
      <w:r>
        <w:rPr>
          <w:rFonts w:cs="EU Albertina"/>
          <w:color w:val="000000"/>
          <w:szCs w:val="22"/>
        </w:rPr>
        <w:t>základě konzultace s AOS se nepředpokládá zvýšení nákladů na osvětovou činnost ve</w:t>
      </w:r>
      <w:r w:rsidR="00A434CA">
        <w:rPr>
          <w:rFonts w:cs="EU Albertina"/>
          <w:color w:val="000000"/>
          <w:szCs w:val="22"/>
        </w:rPr>
        <w:t> </w:t>
      </w:r>
      <w:r>
        <w:rPr>
          <w:rFonts w:cs="EU Albertina"/>
          <w:color w:val="000000"/>
          <w:szCs w:val="22"/>
        </w:rPr>
        <w:t xml:space="preserve">spojitosti s novelou vyhlášky. </w:t>
      </w:r>
    </w:p>
    <w:p w:rsidR="009B675B" w:rsidP="003D02B3" w14:paraId="39D50AE6" w14:textId="77777777">
      <w:pPr>
        <w:spacing w:line="240" w:lineRule="auto"/>
        <w:jc w:val="left"/>
      </w:pPr>
    </w:p>
    <w:p w:rsidR="003D02B3" w:rsidP="003D02B3" w14:paraId="12E177C9" w14:textId="77777777">
      <w:pPr>
        <w:jc w:val="left"/>
        <w:rPr>
          <w:b/>
        </w:rPr>
      </w:pPr>
      <w:r w:rsidRPr="003E5328">
        <w:rPr>
          <w:b/>
        </w:rPr>
        <w:t xml:space="preserve">Dopady na </w:t>
      </w:r>
      <w:r>
        <w:rPr>
          <w:b/>
        </w:rPr>
        <w:t>územní samosprávné celky</w:t>
      </w:r>
    </w:p>
    <w:p w:rsidR="003D02B3" w:rsidP="003D02B3" w14:paraId="65F23059" w14:textId="372B1DDC">
      <w:pPr>
        <w:rPr>
          <w:rFonts w:eastAsia="Calibri" w:cs="Arial"/>
          <w:szCs w:val="22"/>
        </w:rPr>
      </w:pPr>
      <w:r>
        <w:rPr>
          <w:rFonts w:eastAsia="Calibri" w:cs="Arial"/>
          <w:szCs w:val="22"/>
        </w:rPr>
        <w:t xml:space="preserve">Předpokládá se, že opatření by </w:t>
      </w:r>
      <w:r w:rsidR="00C8102B">
        <w:rPr>
          <w:rFonts w:eastAsia="Calibri" w:cs="Arial"/>
          <w:szCs w:val="22"/>
        </w:rPr>
        <w:t>mělo</w:t>
      </w:r>
      <w:r>
        <w:rPr>
          <w:rFonts w:eastAsia="Calibri" w:cs="Arial"/>
          <w:szCs w:val="22"/>
        </w:rPr>
        <w:t xml:space="preserve"> mít pozitivní dopad</w:t>
      </w:r>
      <w:r w:rsidR="00C8102B">
        <w:rPr>
          <w:rFonts w:eastAsia="Calibri" w:cs="Arial"/>
          <w:szCs w:val="22"/>
        </w:rPr>
        <w:t xml:space="preserve"> v podobě úspory rozpočtu obcí z důvodu </w:t>
      </w:r>
      <w:r>
        <w:rPr>
          <w:rFonts w:eastAsia="Calibri" w:cs="Arial"/>
          <w:szCs w:val="22"/>
        </w:rPr>
        <w:t xml:space="preserve">snížení nákladů na </w:t>
      </w:r>
      <w:r w:rsidRPr="006A0996">
        <w:rPr>
          <w:rFonts w:eastAsia="Calibri" w:cs="Arial"/>
          <w:szCs w:val="22"/>
        </w:rPr>
        <w:t xml:space="preserve">odstraňování </w:t>
      </w:r>
      <w:r w:rsidR="004433B3">
        <w:rPr>
          <w:rFonts w:cs="EU Albertina"/>
          <w:color w:val="000000"/>
          <w:szCs w:val="22"/>
        </w:rPr>
        <w:t>jednorázových plastových obalů</w:t>
      </w:r>
      <w:r w:rsidRPr="006B09FF" w:rsidR="004433B3">
        <w:rPr>
          <w:rFonts w:cs="Arial"/>
          <w:bCs/>
          <w:color w:val="000000"/>
          <w:szCs w:val="22"/>
          <w:lang w:eastAsia="cs-CZ"/>
        </w:rPr>
        <w:t xml:space="preserve"> </w:t>
      </w:r>
      <w:r w:rsidRPr="006B09FF">
        <w:rPr>
          <w:rFonts w:cs="Arial"/>
          <w:bCs/>
          <w:color w:val="000000"/>
          <w:szCs w:val="22"/>
          <w:lang w:eastAsia="cs-CZ"/>
        </w:rPr>
        <w:t>v rámci směsného komunálního odpadu</w:t>
      </w:r>
      <w:r>
        <w:rPr>
          <w:rFonts w:cs="Arial"/>
          <w:bCs/>
          <w:color w:val="000000"/>
          <w:szCs w:val="22"/>
          <w:lang w:eastAsia="cs-CZ"/>
        </w:rPr>
        <w:t xml:space="preserve"> a </w:t>
      </w:r>
      <w:r w:rsidR="000C72C3">
        <w:rPr>
          <w:rFonts w:eastAsia="Calibri" w:cs="Arial"/>
          <w:szCs w:val="22"/>
        </w:rPr>
        <w:t xml:space="preserve">na </w:t>
      </w:r>
      <w:r w:rsidR="00C8102B">
        <w:rPr>
          <w:rFonts w:eastAsia="Calibri" w:cs="Arial"/>
          <w:szCs w:val="22"/>
        </w:rPr>
        <w:t xml:space="preserve">úklid </w:t>
      </w:r>
      <w:r w:rsidR="000C72C3">
        <w:rPr>
          <w:rFonts w:eastAsia="Calibri" w:cs="Arial"/>
          <w:szCs w:val="22"/>
        </w:rPr>
        <w:t>littering</w:t>
      </w:r>
      <w:r w:rsidR="00C8102B">
        <w:rPr>
          <w:rFonts w:eastAsia="Calibri" w:cs="Arial"/>
          <w:szCs w:val="22"/>
        </w:rPr>
        <w:t>u</w:t>
      </w:r>
      <w:r>
        <w:rPr>
          <w:rFonts w:eastAsia="Calibri" w:cs="Arial"/>
          <w:szCs w:val="22"/>
        </w:rPr>
        <w:t>, neboť se předpokládá, že v</w:t>
      </w:r>
      <w:r w:rsidRPr="000538E3">
        <w:rPr>
          <w:rFonts w:eastAsia="Calibri" w:cs="Arial"/>
          <w:szCs w:val="22"/>
        </w:rPr>
        <w:t>yšší informovanost</w:t>
      </w:r>
      <w:r>
        <w:rPr>
          <w:rFonts w:eastAsia="Calibri" w:cs="Arial"/>
          <w:szCs w:val="22"/>
        </w:rPr>
        <w:t>í</w:t>
      </w:r>
      <w:r w:rsidRPr="000538E3">
        <w:rPr>
          <w:rFonts w:eastAsia="Calibri" w:cs="Arial"/>
          <w:szCs w:val="22"/>
        </w:rPr>
        <w:t xml:space="preserve"> konečných uživatelů </w:t>
      </w:r>
      <w:r>
        <w:rPr>
          <w:rFonts w:eastAsia="Calibri" w:cs="Arial"/>
          <w:szCs w:val="22"/>
        </w:rPr>
        <w:t xml:space="preserve">by mělo dojít ke snížení odstraňování </w:t>
      </w:r>
      <w:r w:rsidR="004433B3">
        <w:rPr>
          <w:rFonts w:cs="EU Albertina"/>
          <w:color w:val="000000"/>
          <w:szCs w:val="22"/>
        </w:rPr>
        <w:t>jednorázových plastových obalů</w:t>
      </w:r>
      <w:r w:rsidR="004433B3">
        <w:rPr>
          <w:rFonts w:eastAsia="Calibri" w:cs="Arial"/>
          <w:szCs w:val="22"/>
        </w:rPr>
        <w:t xml:space="preserve"> </w:t>
      </w:r>
      <w:r>
        <w:rPr>
          <w:rFonts w:eastAsia="Calibri" w:cs="Arial"/>
          <w:szCs w:val="22"/>
        </w:rPr>
        <w:t xml:space="preserve">mimo </w:t>
      </w:r>
      <w:r w:rsidR="00815F98">
        <w:rPr>
          <w:rFonts w:eastAsia="Calibri" w:cs="Arial"/>
          <w:szCs w:val="22"/>
        </w:rPr>
        <w:t>systém tříděného sběru</w:t>
      </w:r>
      <w:r>
        <w:rPr>
          <w:rFonts w:eastAsia="Calibri" w:cs="Arial"/>
          <w:szCs w:val="22"/>
        </w:rPr>
        <w:t>.</w:t>
      </w:r>
      <w:r w:rsidR="009B675B">
        <w:rPr>
          <w:rFonts w:eastAsia="Calibri" w:cs="Arial"/>
          <w:szCs w:val="22"/>
        </w:rPr>
        <w:t xml:space="preserve"> Úsporu nákladů </w:t>
      </w:r>
      <w:r w:rsidR="00950192">
        <w:rPr>
          <w:rFonts w:eastAsia="Calibri" w:cs="Arial"/>
          <w:szCs w:val="22"/>
        </w:rPr>
        <w:t xml:space="preserve">obcí </w:t>
      </w:r>
      <w:r w:rsidR="009B675B">
        <w:rPr>
          <w:rFonts w:eastAsia="Calibri" w:cs="Arial"/>
          <w:szCs w:val="22"/>
        </w:rPr>
        <w:t>však v tomto případě nelze</w:t>
      </w:r>
      <w:r w:rsidR="00950192">
        <w:rPr>
          <w:rFonts w:eastAsia="Calibri" w:cs="Arial"/>
          <w:szCs w:val="22"/>
        </w:rPr>
        <w:t xml:space="preserve"> blíže</w:t>
      </w:r>
      <w:r w:rsidR="009B675B">
        <w:rPr>
          <w:rFonts w:eastAsia="Calibri" w:cs="Arial"/>
          <w:szCs w:val="22"/>
        </w:rPr>
        <w:t xml:space="preserve"> odha</w:t>
      </w:r>
      <w:r w:rsidR="00950192">
        <w:rPr>
          <w:rFonts w:eastAsia="Calibri" w:cs="Arial"/>
          <w:szCs w:val="22"/>
        </w:rPr>
        <w:t>dnout.</w:t>
      </w:r>
    </w:p>
    <w:p w:rsidR="003D02B3" w:rsidP="003D02B3" w14:paraId="1735C497" w14:textId="77777777">
      <w:pPr>
        <w:rPr>
          <w:rFonts w:cs="Arial"/>
          <w:bCs/>
          <w:color w:val="000000"/>
          <w:sz w:val="20"/>
          <w:szCs w:val="20"/>
          <w:lang w:eastAsia="cs-CZ"/>
        </w:rPr>
      </w:pPr>
    </w:p>
    <w:p w:rsidR="003D02B3" w:rsidRPr="00182828" w:rsidP="00D80FDA" w14:paraId="04C38ACF" w14:textId="77777777">
      <w:pPr>
        <w:keepNext/>
        <w:rPr>
          <w:rFonts w:cs="Arial"/>
          <w:b/>
          <w:color w:val="000000"/>
          <w:szCs w:val="22"/>
          <w:lang w:eastAsia="cs-CZ"/>
        </w:rPr>
      </w:pPr>
      <w:r w:rsidRPr="00182828">
        <w:rPr>
          <w:rFonts w:cs="Arial"/>
          <w:b/>
          <w:color w:val="000000"/>
          <w:szCs w:val="22"/>
          <w:lang w:eastAsia="cs-CZ"/>
        </w:rPr>
        <w:t>Dopady na spotřebitele</w:t>
      </w:r>
    </w:p>
    <w:p w:rsidR="003D02B3" w:rsidP="003D02B3" w14:paraId="5CB0D248" w14:textId="10FAD24C">
      <w:pPr>
        <w:rPr>
          <w:rFonts w:cs="Arial"/>
          <w:bCs/>
          <w:color w:val="000000"/>
          <w:szCs w:val="22"/>
          <w:lang w:eastAsia="cs-CZ"/>
        </w:rPr>
      </w:pPr>
      <w:r>
        <w:rPr>
          <w:rFonts w:eastAsia="Calibri" w:cs="Arial"/>
          <w:szCs w:val="22"/>
        </w:rPr>
        <w:t xml:space="preserve">Stanovením jasných požadavků na osvětovou a propagační činnost by mělo dojít ke </w:t>
      </w:r>
      <w:r>
        <w:rPr>
          <w:rFonts w:cs="EU Albertina"/>
          <w:color w:val="000000"/>
          <w:szCs w:val="22"/>
        </w:rPr>
        <w:t>zvýšení i</w:t>
      </w:r>
      <w:r w:rsidRPr="00101B27">
        <w:rPr>
          <w:rFonts w:cs="EU Albertina"/>
          <w:color w:val="000000"/>
          <w:szCs w:val="22"/>
        </w:rPr>
        <w:t>nformova</w:t>
      </w:r>
      <w:r>
        <w:rPr>
          <w:rFonts w:cs="EU Albertina"/>
          <w:color w:val="000000"/>
          <w:szCs w:val="22"/>
        </w:rPr>
        <w:t>nosti</w:t>
      </w:r>
      <w:r w:rsidRPr="00101B27">
        <w:rPr>
          <w:rFonts w:cs="EU Albertina"/>
          <w:color w:val="000000"/>
          <w:szCs w:val="22"/>
        </w:rPr>
        <w:t xml:space="preserve"> </w:t>
      </w:r>
      <w:r>
        <w:rPr>
          <w:rFonts w:cs="EU Albertina"/>
          <w:color w:val="000000"/>
          <w:szCs w:val="22"/>
        </w:rPr>
        <w:t>spotřebitelů (</w:t>
      </w:r>
      <w:r w:rsidRPr="006B09FF">
        <w:rPr>
          <w:rFonts w:cs="Arial"/>
          <w:bCs/>
          <w:color w:val="000000"/>
          <w:szCs w:val="22"/>
          <w:lang w:eastAsia="cs-CZ"/>
        </w:rPr>
        <w:t>konečných uživatelů</w:t>
      </w:r>
      <w:r>
        <w:rPr>
          <w:rFonts w:cs="Arial"/>
          <w:bCs/>
          <w:color w:val="000000"/>
          <w:szCs w:val="22"/>
          <w:lang w:eastAsia="cs-CZ"/>
        </w:rPr>
        <w:t>)</w:t>
      </w:r>
      <w:r>
        <w:rPr>
          <w:rFonts w:cs="EU Albertina"/>
          <w:color w:val="000000"/>
          <w:szCs w:val="22"/>
        </w:rPr>
        <w:t xml:space="preserve"> </w:t>
      </w:r>
      <w:r w:rsidRPr="00944F41">
        <w:rPr>
          <w:rFonts w:cs="Arial"/>
          <w:bCs/>
          <w:color w:val="000000"/>
          <w:szCs w:val="22"/>
          <w:lang w:eastAsia="cs-CZ"/>
        </w:rPr>
        <w:t xml:space="preserve">o </w:t>
      </w:r>
      <w:r w:rsidRPr="00101B27">
        <w:rPr>
          <w:rFonts w:cs="EU Albertina"/>
          <w:color w:val="000000"/>
          <w:szCs w:val="22"/>
        </w:rPr>
        <w:t xml:space="preserve">vhodných způsobech nakládání </w:t>
      </w:r>
      <w:r>
        <w:rPr>
          <w:rFonts w:cs="EU Albertina"/>
          <w:color w:val="000000"/>
          <w:szCs w:val="22"/>
        </w:rPr>
        <w:t xml:space="preserve">a odstraňování </w:t>
      </w:r>
      <w:r w:rsidR="004433B3">
        <w:rPr>
          <w:rFonts w:cs="EU Albertina"/>
          <w:color w:val="000000"/>
          <w:szCs w:val="22"/>
        </w:rPr>
        <w:t>jednorázových plastových obalů</w:t>
      </w:r>
      <w:r>
        <w:rPr>
          <w:rFonts w:cs="EU Albertina"/>
          <w:color w:val="000000"/>
          <w:szCs w:val="22"/>
        </w:rPr>
        <w:t>, a zároveň o</w:t>
      </w:r>
      <w:r w:rsidRPr="00BA765E">
        <w:rPr>
          <w:rFonts w:cs="Arial"/>
          <w:bCs/>
          <w:color w:val="000000"/>
          <w:szCs w:val="22"/>
          <w:lang w:eastAsia="cs-CZ"/>
        </w:rPr>
        <w:t xml:space="preserve"> negativních důsledcích nevhodného</w:t>
      </w:r>
      <w:r>
        <w:rPr>
          <w:rFonts w:cs="Arial"/>
          <w:bCs/>
          <w:color w:val="000000"/>
          <w:szCs w:val="22"/>
          <w:lang w:eastAsia="cs-CZ"/>
        </w:rPr>
        <w:t xml:space="preserve"> chování a jeho dopadů na životní prostředí.</w:t>
      </w:r>
    </w:p>
    <w:p w:rsidR="00950192" w:rsidP="003D02B3" w14:paraId="5B8856A2" w14:textId="0E6E729A">
      <w:pPr>
        <w:rPr>
          <w:rFonts w:cs="Arial"/>
          <w:bCs/>
          <w:color w:val="000000"/>
          <w:szCs w:val="22"/>
          <w:lang w:eastAsia="cs-CZ"/>
        </w:rPr>
      </w:pPr>
      <w:r>
        <w:t xml:space="preserve">Cílem těchto osvětových opatření by mělo být zejména řádné informování spotřebitelů </w:t>
      </w:r>
      <w:r w:rsidR="004433B3">
        <w:rPr>
          <w:rFonts w:cs="EU Albertina"/>
          <w:color w:val="000000"/>
          <w:szCs w:val="22"/>
        </w:rPr>
        <w:t>jednorázových plastových obalů</w:t>
      </w:r>
      <w:r w:rsidR="004433B3">
        <w:t xml:space="preserve"> </w:t>
      </w:r>
      <w:r>
        <w:t>o dostupnosti opětovně použitelných alternativ, dále o systémech jejich opětovného</w:t>
      </w:r>
      <w:r w:rsidR="004433B3">
        <w:t xml:space="preserve"> </w:t>
      </w:r>
      <w:r>
        <w:t>použití, o nejvhodnějších dostupných způsobech nakládání s odpady z těchto výrobků a o vhodných způsobech jejich odstraňování. V neposlední řadě by osvětové kampaně měly informovat spotřebitele o dopadech nevhodných způsobů odstraňování plastových odpadů na životní prostředí.</w:t>
      </w:r>
    </w:p>
    <w:p w:rsidR="003D02B3" w:rsidP="003D02B3" w14:paraId="067FFF02" w14:textId="77777777">
      <w:pPr>
        <w:rPr>
          <w:rFonts w:cs="Arial"/>
          <w:bCs/>
          <w:color w:val="000000"/>
          <w:szCs w:val="22"/>
          <w:lang w:eastAsia="cs-CZ"/>
        </w:rPr>
      </w:pPr>
    </w:p>
    <w:p w:rsidR="003D02B3" w:rsidRPr="006B09FF" w:rsidP="003D02B3" w14:paraId="7766A3F3" w14:textId="77777777">
      <w:pPr>
        <w:rPr>
          <w:rFonts w:cs="Arial"/>
          <w:b/>
          <w:color w:val="000000"/>
          <w:szCs w:val="22"/>
          <w:lang w:eastAsia="cs-CZ"/>
        </w:rPr>
      </w:pPr>
      <w:r w:rsidRPr="006B09FF">
        <w:rPr>
          <w:rFonts w:cs="Arial"/>
          <w:b/>
          <w:color w:val="000000"/>
          <w:szCs w:val="22"/>
          <w:lang w:eastAsia="cs-CZ"/>
        </w:rPr>
        <w:t>Dopady na životní prostředí</w:t>
      </w:r>
    </w:p>
    <w:p w:rsidR="003D02B3" w:rsidP="003D02B3" w14:paraId="37AC9245" w14:textId="18C47CA7">
      <w:pPr>
        <w:rPr>
          <w:rFonts w:cs="Arial"/>
          <w:bCs/>
          <w:color w:val="000000"/>
          <w:szCs w:val="22"/>
          <w:lang w:eastAsia="cs-CZ"/>
        </w:rPr>
      </w:pPr>
      <w:r w:rsidRPr="006B09FF">
        <w:rPr>
          <w:rFonts w:cs="Arial"/>
          <w:bCs/>
          <w:color w:val="000000"/>
          <w:szCs w:val="22"/>
          <w:lang w:eastAsia="cs-CZ"/>
        </w:rPr>
        <w:t xml:space="preserve">Vyšší informovanost konečných uživatelů </w:t>
      </w:r>
      <w:r>
        <w:rPr>
          <w:rFonts w:cs="Arial"/>
          <w:bCs/>
          <w:color w:val="000000"/>
          <w:szCs w:val="22"/>
          <w:lang w:eastAsia="cs-CZ"/>
        </w:rPr>
        <w:t xml:space="preserve">o </w:t>
      </w:r>
      <w:r w:rsidRPr="006B09FF">
        <w:rPr>
          <w:rFonts w:cs="Arial"/>
          <w:bCs/>
          <w:color w:val="000000"/>
          <w:szCs w:val="22"/>
          <w:lang w:eastAsia="cs-CZ"/>
        </w:rPr>
        <w:t>negativních důsledcích nevhodného nakládání s </w:t>
      </w:r>
      <w:r w:rsidR="004433B3">
        <w:rPr>
          <w:rFonts w:cs="EU Albertina"/>
          <w:color w:val="000000"/>
          <w:szCs w:val="22"/>
        </w:rPr>
        <w:t>jednorázovými plastovými obaly</w:t>
      </w:r>
      <w:r w:rsidR="004433B3">
        <w:rPr>
          <w:rFonts w:cs="Arial"/>
          <w:bCs/>
          <w:color w:val="000000"/>
          <w:szCs w:val="22"/>
          <w:lang w:eastAsia="cs-CZ"/>
        </w:rPr>
        <w:t xml:space="preserve"> </w:t>
      </w:r>
      <w:r>
        <w:rPr>
          <w:rFonts w:cs="Arial"/>
          <w:bCs/>
          <w:color w:val="000000"/>
          <w:szCs w:val="22"/>
          <w:lang w:eastAsia="cs-CZ"/>
        </w:rPr>
        <w:t>by měla vést</w:t>
      </w:r>
      <w:r w:rsidRPr="006B09FF">
        <w:rPr>
          <w:rFonts w:cs="Arial"/>
          <w:bCs/>
          <w:color w:val="000000"/>
          <w:szCs w:val="22"/>
          <w:lang w:eastAsia="cs-CZ"/>
        </w:rPr>
        <w:t xml:space="preserve"> </w:t>
      </w:r>
      <w:r>
        <w:rPr>
          <w:rFonts w:cs="Arial"/>
          <w:bCs/>
          <w:color w:val="000000"/>
          <w:szCs w:val="22"/>
          <w:lang w:eastAsia="cs-CZ"/>
        </w:rPr>
        <w:t xml:space="preserve">k </w:t>
      </w:r>
      <w:r w:rsidRPr="006B09FF">
        <w:rPr>
          <w:rFonts w:cs="Arial"/>
          <w:bCs/>
          <w:color w:val="000000"/>
          <w:szCs w:val="22"/>
          <w:lang w:eastAsia="cs-CZ"/>
        </w:rPr>
        <w:t xml:space="preserve">vyššímu zapojení </w:t>
      </w:r>
      <w:r>
        <w:rPr>
          <w:rFonts w:cs="Arial"/>
          <w:bCs/>
          <w:color w:val="000000"/>
          <w:szCs w:val="22"/>
          <w:lang w:eastAsia="cs-CZ"/>
        </w:rPr>
        <w:t xml:space="preserve">občanů </w:t>
      </w:r>
      <w:r w:rsidRPr="006B09FF">
        <w:rPr>
          <w:rFonts w:cs="Arial"/>
          <w:bCs/>
          <w:color w:val="000000"/>
          <w:szCs w:val="22"/>
          <w:lang w:eastAsia="cs-CZ"/>
        </w:rPr>
        <w:t>do systémů třídění odpadů</w:t>
      </w:r>
      <w:r w:rsidR="007F3029">
        <w:rPr>
          <w:rFonts w:cs="Arial"/>
          <w:bCs/>
          <w:color w:val="000000"/>
          <w:szCs w:val="22"/>
          <w:lang w:eastAsia="cs-CZ"/>
        </w:rPr>
        <w:t xml:space="preserve"> a správného nakládání s odpady</w:t>
      </w:r>
      <w:r w:rsidRPr="006B09FF">
        <w:rPr>
          <w:rFonts w:cs="Arial"/>
          <w:bCs/>
          <w:color w:val="000000"/>
          <w:szCs w:val="22"/>
          <w:lang w:eastAsia="cs-CZ"/>
        </w:rPr>
        <w:t xml:space="preserve">, a tím ke snížení množství odpadů </w:t>
      </w:r>
      <w:r w:rsidR="00976884">
        <w:rPr>
          <w:rFonts w:cs="Arial"/>
          <w:bCs/>
          <w:color w:val="000000"/>
          <w:szCs w:val="22"/>
          <w:lang w:eastAsia="cs-CZ"/>
        </w:rPr>
        <w:t>z</w:t>
      </w:r>
      <w:r w:rsidR="0038462B">
        <w:rPr>
          <w:rFonts w:cs="Arial"/>
          <w:bCs/>
          <w:color w:val="000000"/>
          <w:szCs w:val="22"/>
          <w:lang w:eastAsia="cs-CZ"/>
        </w:rPr>
        <w:t> </w:t>
      </w:r>
      <w:r w:rsidR="004433B3">
        <w:rPr>
          <w:rFonts w:cs="EU Albertina"/>
          <w:color w:val="000000"/>
          <w:szCs w:val="22"/>
        </w:rPr>
        <w:t>jednorázových plastových obalů</w:t>
      </w:r>
      <w:r w:rsidRPr="00F96A7D" w:rsidR="00976884">
        <w:rPr>
          <w:rFonts w:eastAsia="Calibri" w:cs="Arial"/>
          <w:szCs w:val="22"/>
        </w:rPr>
        <w:t xml:space="preserve"> </w:t>
      </w:r>
      <w:r>
        <w:rPr>
          <w:rFonts w:cs="Arial"/>
          <w:bCs/>
          <w:color w:val="000000"/>
          <w:szCs w:val="22"/>
          <w:lang w:eastAsia="cs-CZ"/>
        </w:rPr>
        <w:t xml:space="preserve">mimo místa k tomu určená, </w:t>
      </w:r>
      <w:r>
        <w:rPr>
          <w:rFonts w:cs="EU Albertina"/>
          <w:color w:val="000000"/>
          <w:szCs w:val="22"/>
        </w:rPr>
        <w:t>kde by</w:t>
      </w:r>
      <w:r w:rsidRPr="00F643D4">
        <w:rPr>
          <w:rFonts w:cs="EU Albertina"/>
          <w:color w:val="000000"/>
          <w:szCs w:val="22"/>
        </w:rPr>
        <w:t xml:space="preserve"> </w:t>
      </w:r>
      <w:r>
        <w:rPr>
          <w:rFonts w:cs="EU Albertina"/>
          <w:color w:val="000000"/>
          <w:szCs w:val="22"/>
        </w:rPr>
        <w:t>představovaly zátěž pro životní prostředí.</w:t>
      </w:r>
    </w:p>
    <w:p w:rsidR="00A75EC7" w:rsidRPr="006B09FF" w:rsidP="003D02B3" w14:paraId="1A6C59F2" w14:textId="25798E21">
      <w:pPr>
        <w:rPr>
          <w:rFonts w:cs="Arial"/>
          <w:bCs/>
          <w:color w:val="000000"/>
          <w:szCs w:val="22"/>
          <w:lang w:eastAsia="cs-CZ"/>
        </w:rPr>
      </w:pPr>
      <w:r w:rsidRPr="00F40EDF">
        <w:rPr>
          <w:rFonts w:cs="Arial"/>
          <w:bCs/>
          <w:color w:val="000000"/>
          <w:szCs w:val="22"/>
          <w:lang w:eastAsia="cs-CZ"/>
        </w:rPr>
        <w:t xml:space="preserve"> </w:t>
      </w:r>
    </w:p>
    <w:p w:rsidR="003D02B3" w:rsidRPr="006163F0" w:rsidP="003D02B3" w14:paraId="0991E1FF" w14:textId="77777777">
      <w:pPr>
        <w:pStyle w:val="Heading3"/>
      </w:pPr>
      <w:bookmarkStart w:id="65" w:name="_Toc59181062"/>
      <w:bookmarkStart w:id="66" w:name="_Toc59181249"/>
      <w:bookmarkStart w:id="67" w:name="_Toc70922824"/>
      <w:r w:rsidRPr="00B14931">
        <w:t>Vyhodnocení nákladů a přínosů variant</w:t>
      </w:r>
      <w:bookmarkEnd w:id="65"/>
      <w:bookmarkEnd w:id="66"/>
      <w:bookmarkEnd w:id="67"/>
    </w:p>
    <w:p w:rsidR="003D02B3" w:rsidP="003D02B3" w14:paraId="3C979907" w14:textId="7F09E20D">
      <w:pPr>
        <w:pStyle w:val="Caption"/>
        <w:keepNext/>
      </w:pPr>
      <w:r w:rsidRPr="00B14931">
        <w:t xml:space="preserve">Tabulka </w:t>
      </w:r>
      <w:r w:rsidR="00A40463">
        <w:rPr>
          <w:noProof/>
        </w:rPr>
        <w:t>2</w:t>
      </w:r>
      <w:r w:rsidRPr="00B14931">
        <w:t>: Porovnání nákladů a přínosů</w:t>
      </w:r>
    </w:p>
    <w:tbl>
      <w:tblPr>
        <w:tblW w:w="9062" w:type="dxa"/>
        <w:tblCellMar>
          <w:left w:w="70" w:type="dxa"/>
          <w:right w:w="70" w:type="dxa"/>
        </w:tblCellMar>
        <w:tblLook w:val="04A0"/>
      </w:tblPr>
      <w:tblGrid>
        <w:gridCol w:w="1119"/>
        <w:gridCol w:w="2845"/>
        <w:gridCol w:w="1265"/>
        <w:gridCol w:w="2563"/>
        <w:gridCol w:w="1270"/>
      </w:tblGrid>
      <w:tr w14:paraId="593DCD0A" w14:textId="77777777" w:rsidTr="003D02B3">
        <w:tblPrEx>
          <w:tblW w:w="9062" w:type="dxa"/>
          <w:tblCellMar>
            <w:left w:w="70" w:type="dxa"/>
            <w:right w:w="70" w:type="dxa"/>
          </w:tblCellMar>
          <w:tblLook w:val="04A0"/>
        </w:tblPrEx>
        <w:trPr>
          <w:trHeight w:val="620"/>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2B3" w:rsidRPr="0087335F" w:rsidP="003D02B3" w14:paraId="1ED66D86" w14:textId="77777777">
            <w:pPr>
              <w:keepNext/>
              <w:spacing w:line="240" w:lineRule="auto"/>
              <w:jc w:val="center"/>
              <w:rPr>
                <w:rFonts w:cs="Arial"/>
                <w:b/>
                <w:bCs/>
                <w:color w:val="000000"/>
                <w:sz w:val="20"/>
                <w:szCs w:val="20"/>
                <w:lang w:eastAsia="cs-CZ"/>
              </w:rPr>
            </w:pPr>
            <w:r w:rsidRPr="0087335F">
              <w:rPr>
                <w:rFonts w:cs="Arial"/>
                <w:b/>
                <w:bCs/>
                <w:color w:val="000000"/>
                <w:sz w:val="20"/>
                <w:szCs w:val="20"/>
                <w:lang w:eastAsia="cs-CZ"/>
              </w:rPr>
              <w:t>Varianta</w:t>
            </w:r>
          </w:p>
        </w:tc>
        <w:tc>
          <w:tcPr>
            <w:tcW w:w="2845" w:type="dxa"/>
            <w:tcBorders>
              <w:top w:val="single" w:sz="4" w:space="0" w:color="auto"/>
              <w:left w:val="nil"/>
              <w:bottom w:val="single" w:sz="4" w:space="0" w:color="auto"/>
              <w:right w:val="single" w:sz="4" w:space="0" w:color="auto"/>
            </w:tcBorders>
            <w:shd w:val="clear" w:color="auto" w:fill="auto"/>
            <w:noWrap/>
            <w:vAlign w:val="center"/>
            <w:hideMark/>
          </w:tcPr>
          <w:p w:rsidR="003D02B3" w:rsidRPr="0087335F" w:rsidP="00C51652" w14:paraId="23346833" w14:textId="77777777">
            <w:pPr>
              <w:keepNext/>
              <w:spacing w:line="240" w:lineRule="auto"/>
              <w:jc w:val="center"/>
              <w:rPr>
                <w:rFonts w:cs="Arial"/>
                <w:b/>
                <w:bCs/>
                <w:color w:val="000000"/>
                <w:sz w:val="20"/>
                <w:szCs w:val="20"/>
                <w:lang w:eastAsia="cs-CZ"/>
              </w:rPr>
            </w:pPr>
            <w:r w:rsidRPr="0087335F">
              <w:rPr>
                <w:rFonts w:cs="Arial"/>
                <w:b/>
                <w:bCs/>
                <w:color w:val="000000"/>
                <w:sz w:val="20"/>
                <w:szCs w:val="20"/>
                <w:lang w:eastAsia="cs-CZ"/>
              </w:rPr>
              <w:t>Přínosy</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3D02B3" w:rsidRPr="0087335F" w:rsidP="00C51652" w14:paraId="2C8E410C" w14:textId="77777777">
            <w:pPr>
              <w:keepNext/>
              <w:spacing w:line="240" w:lineRule="auto"/>
              <w:jc w:val="center"/>
              <w:rPr>
                <w:rFonts w:cs="Arial"/>
                <w:b/>
                <w:bCs/>
                <w:color w:val="000000"/>
                <w:sz w:val="20"/>
                <w:szCs w:val="20"/>
                <w:lang w:eastAsia="cs-CZ"/>
              </w:rPr>
            </w:pPr>
            <w:r w:rsidRPr="0087335F">
              <w:rPr>
                <w:rFonts w:cs="Arial"/>
                <w:b/>
                <w:bCs/>
                <w:color w:val="000000"/>
                <w:sz w:val="20"/>
                <w:szCs w:val="20"/>
                <w:lang w:eastAsia="cs-CZ"/>
              </w:rPr>
              <w:t>Hodnocení</w:t>
            </w:r>
          </w:p>
        </w:tc>
        <w:tc>
          <w:tcPr>
            <w:tcW w:w="2563" w:type="dxa"/>
            <w:tcBorders>
              <w:top w:val="single" w:sz="4" w:space="0" w:color="auto"/>
              <w:left w:val="nil"/>
              <w:bottom w:val="single" w:sz="4" w:space="0" w:color="auto"/>
              <w:right w:val="single" w:sz="4" w:space="0" w:color="auto"/>
            </w:tcBorders>
            <w:shd w:val="clear" w:color="auto" w:fill="auto"/>
            <w:noWrap/>
            <w:vAlign w:val="center"/>
            <w:hideMark/>
          </w:tcPr>
          <w:p w:rsidR="003D02B3" w:rsidRPr="0087335F" w:rsidP="00C51652" w14:paraId="68623F00" w14:textId="77777777">
            <w:pPr>
              <w:keepNext/>
              <w:spacing w:line="240" w:lineRule="auto"/>
              <w:jc w:val="center"/>
              <w:rPr>
                <w:rFonts w:cs="Arial"/>
                <w:b/>
                <w:bCs/>
                <w:color w:val="000000"/>
                <w:sz w:val="20"/>
                <w:szCs w:val="20"/>
                <w:lang w:eastAsia="cs-CZ"/>
              </w:rPr>
            </w:pPr>
            <w:r w:rsidRPr="0087335F">
              <w:rPr>
                <w:rFonts w:cs="Arial"/>
                <w:b/>
                <w:bCs/>
                <w:color w:val="000000"/>
                <w:sz w:val="20"/>
                <w:szCs w:val="20"/>
                <w:lang w:eastAsia="cs-CZ"/>
              </w:rPr>
              <w:t>Náklady</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3D02B3" w:rsidRPr="0087335F" w:rsidP="00C51652" w14:paraId="1C17D472" w14:textId="77777777">
            <w:pPr>
              <w:keepNext/>
              <w:spacing w:line="240" w:lineRule="auto"/>
              <w:jc w:val="center"/>
              <w:rPr>
                <w:rFonts w:cs="Arial"/>
                <w:b/>
                <w:bCs/>
                <w:color w:val="000000"/>
                <w:sz w:val="20"/>
                <w:szCs w:val="20"/>
                <w:lang w:eastAsia="cs-CZ"/>
              </w:rPr>
            </w:pPr>
            <w:r w:rsidRPr="0087335F">
              <w:rPr>
                <w:rFonts w:cs="Arial"/>
                <w:b/>
                <w:bCs/>
                <w:color w:val="000000"/>
                <w:sz w:val="20"/>
                <w:szCs w:val="20"/>
                <w:lang w:eastAsia="cs-CZ"/>
              </w:rPr>
              <w:t>Hodnocení</w:t>
            </w:r>
          </w:p>
        </w:tc>
      </w:tr>
      <w:tr w14:paraId="72F8FC75" w14:textId="77777777" w:rsidTr="003D02B3">
        <w:tblPrEx>
          <w:tblW w:w="9062" w:type="dxa"/>
          <w:tblCellMar>
            <w:left w:w="70" w:type="dxa"/>
            <w:right w:w="70" w:type="dxa"/>
          </w:tblCellMar>
          <w:tblLook w:val="04A0"/>
        </w:tblPrEx>
        <w:trPr>
          <w:trHeight w:val="499"/>
        </w:trPr>
        <w:tc>
          <w:tcPr>
            <w:tcW w:w="1119" w:type="dxa"/>
            <w:vMerge w:val="restart"/>
            <w:tcBorders>
              <w:top w:val="nil"/>
              <w:left w:val="single" w:sz="4" w:space="0" w:color="auto"/>
              <w:bottom w:val="nil"/>
              <w:right w:val="single" w:sz="4" w:space="0" w:color="auto"/>
            </w:tcBorders>
            <w:shd w:val="clear" w:color="auto" w:fill="auto"/>
            <w:noWrap/>
            <w:vAlign w:val="center"/>
            <w:hideMark/>
          </w:tcPr>
          <w:p w:rsidR="003D02B3" w:rsidRPr="0087335F" w:rsidP="003D02B3" w14:paraId="32EFD83E" w14:textId="77777777">
            <w:pPr>
              <w:spacing w:line="240" w:lineRule="auto"/>
              <w:jc w:val="center"/>
              <w:rPr>
                <w:rFonts w:cs="Arial"/>
                <w:b/>
                <w:bCs/>
                <w:color w:val="000000"/>
                <w:sz w:val="20"/>
                <w:szCs w:val="20"/>
                <w:lang w:eastAsia="cs-CZ"/>
              </w:rPr>
            </w:pPr>
            <w:r w:rsidRPr="0087335F">
              <w:rPr>
                <w:rFonts w:cs="Arial"/>
                <w:b/>
                <w:bCs/>
                <w:color w:val="000000"/>
                <w:sz w:val="20"/>
                <w:szCs w:val="20"/>
                <w:lang w:eastAsia="cs-CZ"/>
              </w:rPr>
              <w:t>Varianta 0</w:t>
            </w:r>
          </w:p>
        </w:tc>
        <w:tc>
          <w:tcPr>
            <w:tcW w:w="7943" w:type="dxa"/>
            <w:gridSpan w:val="4"/>
            <w:tcBorders>
              <w:top w:val="single" w:sz="4" w:space="0" w:color="auto"/>
              <w:left w:val="nil"/>
              <w:bottom w:val="single" w:sz="4" w:space="0" w:color="auto"/>
              <w:right w:val="single" w:sz="4" w:space="0" w:color="000000"/>
            </w:tcBorders>
            <w:shd w:val="clear" w:color="auto" w:fill="auto"/>
            <w:vAlign w:val="center"/>
            <w:hideMark/>
          </w:tcPr>
          <w:p w:rsidR="003D02B3" w:rsidRPr="0087335F" w:rsidP="00C51652" w14:paraId="364793AC" w14:textId="77777777">
            <w:pPr>
              <w:spacing w:line="240" w:lineRule="auto"/>
              <w:jc w:val="center"/>
              <w:rPr>
                <w:rFonts w:cs="Arial"/>
                <w:b/>
                <w:bCs/>
                <w:color w:val="000000"/>
                <w:sz w:val="20"/>
                <w:szCs w:val="20"/>
                <w:lang w:eastAsia="cs-CZ"/>
              </w:rPr>
            </w:pPr>
            <w:r w:rsidRPr="0087335F">
              <w:rPr>
                <w:rFonts w:cs="Arial"/>
                <w:b/>
                <w:bCs/>
                <w:color w:val="000000"/>
                <w:sz w:val="20"/>
                <w:szCs w:val="20"/>
                <w:lang w:eastAsia="cs-CZ"/>
              </w:rPr>
              <w:t>Státní rozpočet a ostatní veřejné rozpočty</w:t>
            </w:r>
          </w:p>
        </w:tc>
      </w:tr>
      <w:tr w14:paraId="7E173052" w14:textId="77777777" w:rsidTr="003D02B3">
        <w:tblPrEx>
          <w:tblW w:w="9062" w:type="dxa"/>
          <w:tblCellMar>
            <w:left w:w="70" w:type="dxa"/>
            <w:right w:w="70" w:type="dxa"/>
          </w:tblCellMar>
          <w:tblLook w:val="04A0"/>
        </w:tblPrEx>
        <w:trPr>
          <w:trHeight w:val="385"/>
        </w:trPr>
        <w:tc>
          <w:tcPr>
            <w:tcW w:w="1119" w:type="dxa"/>
            <w:vMerge/>
            <w:tcBorders>
              <w:top w:val="nil"/>
              <w:left w:val="single" w:sz="4" w:space="0" w:color="auto"/>
              <w:bottom w:val="nil"/>
              <w:right w:val="single" w:sz="4" w:space="0" w:color="auto"/>
            </w:tcBorders>
            <w:vAlign w:val="center"/>
            <w:hideMark/>
          </w:tcPr>
          <w:p w:rsidR="003D02B3" w:rsidRPr="0087335F" w:rsidP="003D02B3" w14:paraId="54F9FF93" w14:textId="77777777">
            <w:pPr>
              <w:spacing w:line="240" w:lineRule="auto"/>
              <w:jc w:val="left"/>
              <w:rPr>
                <w:rFonts w:cs="Arial"/>
                <w:b/>
                <w:bCs/>
                <w:color w:val="000000"/>
                <w:sz w:val="20"/>
                <w:szCs w:val="20"/>
                <w:lang w:eastAsia="cs-CZ"/>
              </w:rPr>
            </w:pPr>
          </w:p>
        </w:tc>
        <w:tc>
          <w:tcPr>
            <w:tcW w:w="2845" w:type="dxa"/>
            <w:tcBorders>
              <w:top w:val="nil"/>
              <w:left w:val="nil"/>
              <w:bottom w:val="single" w:sz="4" w:space="0" w:color="auto"/>
              <w:right w:val="single" w:sz="4" w:space="0" w:color="auto"/>
            </w:tcBorders>
            <w:shd w:val="clear" w:color="auto" w:fill="auto"/>
            <w:vAlign w:val="center"/>
          </w:tcPr>
          <w:p w:rsidR="003D02B3" w:rsidRPr="0087335F" w:rsidP="00C51652" w14:paraId="15CE99F9" w14:textId="77777777">
            <w:pPr>
              <w:spacing w:line="240" w:lineRule="auto"/>
              <w:jc w:val="center"/>
              <w:rPr>
                <w:rFonts w:cs="Arial"/>
                <w:color w:val="000000"/>
                <w:sz w:val="20"/>
                <w:szCs w:val="20"/>
                <w:lang w:eastAsia="cs-CZ"/>
              </w:rPr>
            </w:pPr>
          </w:p>
        </w:tc>
        <w:tc>
          <w:tcPr>
            <w:tcW w:w="1265" w:type="dxa"/>
            <w:tcBorders>
              <w:top w:val="nil"/>
              <w:left w:val="nil"/>
              <w:bottom w:val="single" w:sz="4" w:space="0" w:color="auto"/>
              <w:right w:val="single" w:sz="4" w:space="0" w:color="auto"/>
            </w:tcBorders>
            <w:shd w:val="clear" w:color="auto" w:fill="auto"/>
            <w:vAlign w:val="center"/>
          </w:tcPr>
          <w:p w:rsidR="003D02B3" w:rsidRPr="0087335F" w:rsidP="00C51652" w14:paraId="31F5AAB1" w14:textId="77777777">
            <w:pPr>
              <w:spacing w:line="240" w:lineRule="auto"/>
              <w:jc w:val="center"/>
              <w:rPr>
                <w:rFonts w:cs="Arial"/>
                <w:color w:val="000000"/>
                <w:sz w:val="20"/>
                <w:szCs w:val="20"/>
                <w:lang w:eastAsia="cs-CZ"/>
              </w:rPr>
            </w:pPr>
          </w:p>
        </w:tc>
        <w:tc>
          <w:tcPr>
            <w:tcW w:w="2563" w:type="dxa"/>
            <w:tcBorders>
              <w:top w:val="nil"/>
              <w:left w:val="nil"/>
              <w:bottom w:val="single" w:sz="4" w:space="0" w:color="auto"/>
              <w:right w:val="single" w:sz="4" w:space="0" w:color="auto"/>
            </w:tcBorders>
            <w:shd w:val="clear" w:color="auto" w:fill="auto"/>
            <w:vAlign w:val="center"/>
          </w:tcPr>
          <w:p w:rsidR="003D02B3" w:rsidRPr="00C8102B" w:rsidP="00C51652" w14:paraId="38A21BD9" w14:textId="5B06D06E">
            <w:pPr>
              <w:spacing w:line="240" w:lineRule="auto"/>
              <w:jc w:val="center"/>
              <w:rPr>
                <w:rFonts w:cs="Arial"/>
                <w:color w:val="000000"/>
                <w:sz w:val="20"/>
                <w:szCs w:val="20"/>
                <w:highlight w:val="yellow"/>
                <w:lang w:eastAsia="cs-CZ"/>
              </w:rPr>
            </w:pPr>
          </w:p>
        </w:tc>
        <w:tc>
          <w:tcPr>
            <w:tcW w:w="1270" w:type="dxa"/>
            <w:tcBorders>
              <w:top w:val="nil"/>
              <w:left w:val="nil"/>
              <w:bottom w:val="single" w:sz="4" w:space="0" w:color="auto"/>
              <w:right w:val="single" w:sz="4" w:space="0" w:color="auto"/>
            </w:tcBorders>
            <w:shd w:val="clear" w:color="auto" w:fill="auto"/>
            <w:vAlign w:val="center"/>
          </w:tcPr>
          <w:p w:rsidR="003D02B3" w:rsidRPr="00C8102B" w:rsidP="00C51652" w14:paraId="3E131B9D" w14:textId="0029B1D6">
            <w:pPr>
              <w:spacing w:line="240" w:lineRule="auto"/>
              <w:jc w:val="center"/>
              <w:rPr>
                <w:rFonts w:cs="Arial"/>
                <w:color w:val="000000"/>
                <w:sz w:val="20"/>
                <w:szCs w:val="20"/>
                <w:highlight w:val="yellow"/>
                <w:lang w:eastAsia="cs-CZ"/>
              </w:rPr>
            </w:pPr>
          </w:p>
        </w:tc>
      </w:tr>
      <w:tr w14:paraId="73720C30" w14:textId="77777777" w:rsidTr="003D02B3">
        <w:tblPrEx>
          <w:tblW w:w="9062" w:type="dxa"/>
          <w:tblCellMar>
            <w:left w:w="70" w:type="dxa"/>
            <w:right w:w="70" w:type="dxa"/>
          </w:tblCellMar>
          <w:tblLook w:val="04A0"/>
        </w:tblPrEx>
        <w:trPr>
          <w:trHeight w:val="499"/>
        </w:trPr>
        <w:tc>
          <w:tcPr>
            <w:tcW w:w="1119" w:type="dxa"/>
            <w:vMerge/>
            <w:tcBorders>
              <w:top w:val="nil"/>
              <w:left w:val="single" w:sz="4" w:space="0" w:color="auto"/>
              <w:bottom w:val="nil"/>
              <w:right w:val="single" w:sz="4" w:space="0" w:color="auto"/>
            </w:tcBorders>
            <w:vAlign w:val="center"/>
            <w:hideMark/>
          </w:tcPr>
          <w:p w:rsidR="003D02B3" w:rsidRPr="0087335F" w:rsidP="003D02B3" w14:paraId="5AA5B545" w14:textId="77777777">
            <w:pPr>
              <w:spacing w:line="240" w:lineRule="auto"/>
              <w:jc w:val="left"/>
              <w:rPr>
                <w:rFonts w:cs="Arial"/>
                <w:b/>
                <w:bCs/>
                <w:color w:val="000000"/>
                <w:sz w:val="20"/>
                <w:szCs w:val="20"/>
                <w:lang w:eastAsia="cs-CZ"/>
              </w:rPr>
            </w:pPr>
          </w:p>
        </w:tc>
        <w:tc>
          <w:tcPr>
            <w:tcW w:w="7943" w:type="dxa"/>
            <w:gridSpan w:val="4"/>
            <w:tcBorders>
              <w:top w:val="single" w:sz="4" w:space="0" w:color="auto"/>
              <w:left w:val="nil"/>
              <w:bottom w:val="single" w:sz="4" w:space="0" w:color="auto"/>
              <w:right w:val="single" w:sz="4" w:space="0" w:color="000000"/>
            </w:tcBorders>
            <w:shd w:val="clear" w:color="auto" w:fill="auto"/>
            <w:vAlign w:val="center"/>
            <w:hideMark/>
          </w:tcPr>
          <w:p w:rsidR="003D02B3" w:rsidRPr="0087335F" w:rsidP="00C51652" w14:paraId="2227FF18" w14:textId="77777777">
            <w:pPr>
              <w:spacing w:line="240" w:lineRule="auto"/>
              <w:jc w:val="center"/>
              <w:rPr>
                <w:rFonts w:cs="Arial"/>
                <w:b/>
                <w:bCs/>
                <w:color w:val="000000"/>
                <w:sz w:val="20"/>
                <w:szCs w:val="20"/>
                <w:lang w:eastAsia="cs-CZ"/>
              </w:rPr>
            </w:pPr>
            <w:r w:rsidRPr="0087335F">
              <w:rPr>
                <w:rFonts w:cs="Arial"/>
                <w:b/>
                <w:bCs/>
                <w:color w:val="000000"/>
                <w:sz w:val="20"/>
                <w:szCs w:val="20"/>
                <w:lang w:eastAsia="cs-CZ"/>
              </w:rPr>
              <w:t>Podnikatelské prostředí</w:t>
            </w:r>
          </w:p>
        </w:tc>
      </w:tr>
      <w:tr w14:paraId="3B91A77A" w14:textId="77777777" w:rsidTr="003D02B3">
        <w:tblPrEx>
          <w:tblW w:w="9062" w:type="dxa"/>
          <w:tblCellMar>
            <w:left w:w="70" w:type="dxa"/>
            <w:right w:w="70" w:type="dxa"/>
          </w:tblCellMar>
          <w:tblLook w:val="04A0"/>
        </w:tblPrEx>
        <w:trPr>
          <w:trHeight w:val="392"/>
        </w:trPr>
        <w:tc>
          <w:tcPr>
            <w:tcW w:w="1119" w:type="dxa"/>
            <w:vMerge/>
            <w:tcBorders>
              <w:top w:val="nil"/>
              <w:left w:val="single" w:sz="4" w:space="0" w:color="auto"/>
              <w:bottom w:val="nil"/>
              <w:right w:val="single" w:sz="4" w:space="0" w:color="auto"/>
            </w:tcBorders>
            <w:vAlign w:val="center"/>
          </w:tcPr>
          <w:p w:rsidR="003D02B3" w:rsidRPr="0087335F" w:rsidP="003D02B3" w14:paraId="794A90C9" w14:textId="77777777">
            <w:pPr>
              <w:spacing w:line="240" w:lineRule="auto"/>
              <w:jc w:val="left"/>
              <w:rPr>
                <w:rFonts w:cs="Arial"/>
                <w:b/>
                <w:bCs/>
                <w:color w:val="000000"/>
                <w:sz w:val="20"/>
                <w:szCs w:val="20"/>
                <w:lang w:eastAsia="cs-CZ"/>
              </w:rPr>
            </w:pPr>
          </w:p>
        </w:tc>
        <w:tc>
          <w:tcPr>
            <w:tcW w:w="2845" w:type="dxa"/>
            <w:tcBorders>
              <w:top w:val="nil"/>
              <w:left w:val="nil"/>
              <w:bottom w:val="single" w:sz="4" w:space="0" w:color="auto"/>
              <w:right w:val="single" w:sz="4" w:space="0" w:color="auto"/>
            </w:tcBorders>
            <w:shd w:val="clear" w:color="auto" w:fill="auto"/>
            <w:vAlign w:val="center"/>
          </w:tcPr>
          <w:p w:rsidR="003D02B3" w:rsidP="00C51652" w14:paraId="3CA158E5" w14:textId="77777777">
            <w:pPr>
              <w:spacing w:line="240" w:lineRule="auto"/>
              <w:jc w:val="center"/>
              <w:rPr>
                <w:rFonts w:cs="Arial"/>
                <w:color w:val="000000"/>
                <w:sz w:val="20"/>
                <w:szCs w:val="20"/>
                <w:lang w:eastAsia="cs-CZ"/>
              </w:rPr>
            </w:pPr>
          </w:p>
        </w:tc>
        <w:tc>
          <w:tcPr>
            <w:tcW w:w="1265" w:type="dxa"/>
            <w:tcBorders>
              <w:top w:val="nil"/>
              <w:left w:val="nil"/>
              <w:bottom w:val="single" w:sz="4" w:space="0" w:color="auto"/>
              <w:right w:val="single" w:sz="4" w:space="0" w:color="auto"/>
            </w:tcBorders>
            <w:shd w:val="clear" w:color="auto" w:fill="auto"/>
            <w:vAlign w:val="center"/>
          </w:tcPr>
          <w:p w:rsidR="003D02B3" w:rsidP="00C51652" w14:paraId="14DC15FF" w14:textId="77777777">
            <w:pPr>
              <w:spacing w:line="240" w:lineRule="auto"/>
              <w:jc w:val="center"/>
              <w:rPr>
                <w:rFonts w:cs="Arial"/>
                <w:color w:val="000000"/>
                <w:sz w:val="20"/>
                <w:szCs w:val="20"/>
                <w:lang w:eastAsia="cs-CZ"/>
              </w:rPr>
            </w:pPr>
          </w:p>
        </w:tc>
        <w:tc>
          <w:tcPr>
            <w:tcW w:w="2563" w:type="dxa"/>
            <w:tcBorders>
              <w:top w:val="nil"/>
              <w:left w:val="nil"/>
              <w:bottom w:val="single" w:sz="4" w:space="0" w:color="auto"/>
              <w:right w:val="single" w:sz="4" w:space="0" w:color="auto"/>
            </w:tcBorders>
            <w:shd w:val="clear" w:color="auto" w:fill="auto"/>
            <w:vAlign w:val="center"/>
          </w:tcPr>
          <w:p w:rsidR="003D02B3" w:rsidP="00C51652" w14:paraId="5A449214" w14:textId="1A077728">
            <w:pPr>
              <w:spacing w:line="240" w:lineRule="auto"/>
              <w:jc w:val="center"/>
              <w:rPr>
                <w:rFonts w:cs="Arial"/>
                <w:color w:val="000000"/>
                <w:sz w:val="20"/>
                <w:szCs w:val="20"/>
                <w:lang w:eastAsia="cs-CZ"/>
              </w:rPr>
            </w:pPr>
            <w:r>
              <w:rPr>
                <w:rFonts w:cs="Arial"/>
                <w:color w:val="000000"/>
                <w:sz w:val="20"/>
                <w:szCs w:val="20"/>
                <w:lang w:eastAsia="cs-CZ"/>
              </w:rPr>
              <w:t xml:space="preserve">Hrozí riziko </w:t>
            </w:r>
            <w:r>
              <w:rPr>
                <w:rFonts w:cs="Arial"/>
                <w:color w:val="000000"/>
                <w:sz w:val="20"/>
                <w:szCs w:val="20"/>
                <w:lang w:eastAsia="cs-CZ"/>
              </w:rPr>
              <w:t>f</w:t>
            </w:r>
            <w:r>
              <w:rPr>
                <w:rFonts w:cs="Arial"/>
                <w:color w:val="000000"/>
                <w:sz w:val="20"/>
                <w:szCs w:val="20"/>
                <w:lang w:eastAsia="cs-CZ"/>
              </w:rPr>
              <w:t>reeriding</w:t>
            </w:r>
            <w:r>
              <w:rPr>
                <w:rFonts w:cs="Arial"/>
                <w:color w:val="000000"/>
                <w:sz w:val="20"/>
                <w:szCs w:val="20"/>
                <w:lang w:eastAsia="cs-CZ"/>
              </w:rPr>
              <w:t>u</w:t>
            </w:r>
            <w:r>
              <w:rPr>
                <w:rFonts w:cs="Arial"/>
                <w:color w:val="000000"/>
                <w:sz w:val="20"/>
                <w:szCs w:val="20"/>
                <w:lang w:eastAsia="cs-CZ"/>
              </w:rPr>
              <w:t xml:space="preserve"> některých výrobců v oblasti pořádání kampaní na úkor </w:t>
            </w:r>
            <w:r w:rsidR="0097633A">
              <w:rPr>
                <w:rFonts w:cs="Arial"/>
                <w:color w:val="000000"/>
                <w:sz w:val="20"/>
                <w:szCs w:val="20"/>
                <w:lang w:eastAsia="cs-CZ"/>
              </w:rPr>
              <w:t>AOS</w:t>
            </w:r>
          </w:p>
        </w:tc>
        <w:tc>
          <w:tcPr>
            <w:tcW w:w="1270" w:type="dxa"/>
            <w:tcBorders>
              <w:top w:val="nil"/>
              <w:left w:val="nil"/>
              <w:bottom w:val="single" w:sz="4" w:space="0" w:color="auto"/>
              <w:right w:val="single" w:sz="4" w:space="0" w:color="auto"/>
            </w:tcBorders>
            <w:shd w:val="clear" w:color="auto" w:fill="auto"/>
            <w:vAlign w:val="center"/>
          </w:tcPr>
          <w:p w:rsidR="003D02B3" w:rsidP="00C51652" w14:paraId="13A4FD2F" w14:textId="77777777">
            <w:pPr>
              <w:spacing w:line="240" w:lineRule="auto"/>
              <w:jc w:val="center"/>
              <w:rPr>
                <w:rFonts w:cs="Arial"/>
                <w:color w:val="000000"/>
                <w:sz w:val="20"/>
                <w:szCs w:val="20"/>
                <w:lang w:eastAsia="cs-CZ"/>
              </w:rPr>
            </w:pPr>
            <w:r>
              <w:rPr>
                <w:rFonts w:cs="Arial"/>
                <w:color w:val="000000"/>
                <w:sz w:val="20"/>
                <w:szCs w:val="20"/>
                <w:lang w:eastAsia="cs-CZ"/>
              </w:rPr>
              <w:t>****</w:t>
            </w:r>
          </w:p>
        </w:tc>
      </w:tr>
      <w:tr w14:paraId="7CD65926" w14:textId="77777777" w:rsidTr="003D02B3">
        <w:tblPrEx>
          <w:tblW w:w="9062" w:type="dxa"/>
          <w:tblCellMar>
            <w:left w:w="70" w:type="dxa"/>
            <w:right w:w="70" w:type="dxa"/>
          </w:tblCellMar>
          <w:tblLook w:val="04A0"/>
        </w:tblPrEx>
        <w:trPr>
          <w:trHeight w:val="499"/>
        </w:trPr>
        <w:tc>
          <w:tcPr>
            <w:tcW w:w="1119" w:type="dxa"/>
            <w:vMerge/>
            <w:tcBorders>
              <w:top w:val="nil"/>
              <w:left w:val="single" w:sz="4" w:space="0" w:color="auto"/>
              <w:bottom w:val="nil"/>
              <w:right w:val="single" w:sz="4" w:space="0" w:color="auto"/>
            </w:tcBorders>
            <w:vAlign w:val="center"/>
            <w:hideMark/>
          </w:tcPr>
          <w:p w:rsidR="003D02B3" w:rsidRPr="0087335F" w:rsidP="003D02B3" w14:paraId="5DD2BE06" w14:textId="77777777">
            <w:pPr>
              <w:spacing w:line="240" w:lineRule="auto"/>
              <w:jc w:val="left"/>
              <w:rPr>
                <w:rFonts w:cs="Arial"/>
                <w:b/>
                <w:bCs/>
                <w:color w:val="000000"/>
                <w:sz w:val="20"/>
                <w:szCs w:val="20"/>
                <w:lang w:eastAsia="cs-CZ"/>
              </w:rPr>
            </w:pPr>
          </w:p>
        </w:tc>
        <w:tc>
          <w:tcPr>
            <w:tcW w:w="7943" w:type="dxa"/>
            <w:gridSpan w:val="4"/>
            <w:tcBorders>
              <w:top w:val="single" w:sz="4" w:space="0" w:color="auto"/>
              <w:left w:val="nil"/>
              <w:bottom w:val="single" w:sz="4" w:space="0" w:color="auto"/>
              <w:right w:val="single" w:sz="4" w:space="0" w:color="000000"/>
            </w:tcBorders>
            <w:shd w:val="clear" w:color="auto" w:fill="auto"/>
            <w:vAlign w:val="center"/>
            <w:hideMark/>
          </w:tcPr>
          <w:p w:rsidR="003D02B3" w:rsidRPr="0087335F" w:rsidP="00C51652" w14:paraId="78D0C9B0" w14:textId="79F4966A">
            <w:pPr>
              <w:spacing w:line="240" w:lineRule="auto"/>
              <w:jc w:val="center"/>
              <w:rPr>
                <w:rFonts w:cs="Arial"/>
                <w:b/>
                <w:bCs/>
                <w:color w:val="000000"/>
                <w:sz w:val="20"/>
                <w:szCs w:val="20"/>
                <w:lang w:eastAsia="cs-CZ"/>
              </w:rPr>
            </w:pPr>
            <w:r>
              <w:rPr>
                <w:rFonts w:cs="Arial"/>
                <w:b/>
                <w:bCs/>
                <w:color w:val="000000"/>
                <w:sz w:val="20"/>
                <w:szCs w:val="20"/>
                <w:lang w:eastAsia="cs-CZ"/>
              </w:rPr>
              <w:t>Dopady na spotřebitele</w:t>
            </w:r>
          </w:p>
        </w:tc>
      </w:tr>
      <w:tr w14:paraId="2CB32A53" w14:textId="77777777" w:rsidTr="003D02B3">
        <w:tblPrEx>
          <w:tblW w:w="9062" w:type="dxa"/>
          <w:tblCellMar>
            <w:left w:w="70" w:type="dxa"/>
            <w:right w:w="70" w:type="dxa"/>
          </w:tblCellMar>
          <w:tblLook w:val="04A0"/>
        </w:tblPrEx>
        <w:trPr>
          <w:trHeight w:val="499"/>
        </w:trPr>
        <w:tc>
          <w:tcPr>
            <w:tcW w:w="1119" w:type="dxa"/>
            <w:vMerge/>
            <w:tcBorders>
              <w:top w:val="nil"/>
              <w:left w:val="single" w:sz="4" w:space="0" w:color="auto"/>
              <w:bottom w:val="nil"/>
              <w:right w:val="single" w:sz="4" w:space="0" w:color="auto"/>
            </w:tcBorders>
            <w:vAlign w:val="center"/>
          </w:tcPr>
          <w:p w:rsidR="003D02B3" w:rsidRPr="0087335F" w:rsidP="003D02B3" w14:paraId="4626FC84" w14:textId="77777777">
            <w:pPr>
              <w:spacing w:line="240" w:lineRule="auto"/>
              <w:jc w:val="left"/>
              <w:rPr>
                <w:rFonts w:cs="Arial"/>
                <w:b/>
                <w:bCs/>
                <w:color w:val="000000"/>
                <w:sz w:val="20"/>
                <w:szCs w:val="20"/>
                <w:lang w:eastAsia="cs-CZ"/>
              </w:rPr>
            </w:pPr>
          </w:p>
        </w:tc>
        <w:tc>
          <w:tcPr>
            <w:tcW w:w="2845" w:type="dxa"/>
            <w:tcBorders>
              <w:top w:val="nil"/>
              <w:left w:val="nil"/>
              <w:bottom w:val="single" w:sz="4" w:space="0" w:color="auto"/>
              <w:right w:val="single" w:sz="4" w:space="0" w:color="auto"/>
            </w:tcBorders>
            <w:shd w:val="clear" w:color="auto" w:fill="auto"/>
            <w:vAlign w:val="center"/>
          </w:tcPr>
          <w:p w:rsidR="003D02B3" w:rsidP="00C51652" w14:paraId="60B23B94" w14:textId="77777777">
            <w:pPr>
              <w:spacing w:line="240" w:lineRule="auto"/>
              <w:jc w:val="center"/>
              <w:rPr>
                <w:rFonts w:cs="Arial"/>
                <w:bCs/>
                <w:color w:val="000000"/>
                <w:sz w:val="20"/>
                <w:szCs w:val="20"/>
                <w:lang w:eastAsia="cs-CZ"/>
              </w:rPr>
            </w:pPr>
          </w:p>
        </w:tc>
        <w:tc>
          <w:tcPr>
            <w:tcW w:w="1265" w:type="dxa"/>
            <w:tcBorders>
              <w:top w:val="nil"/>
              <w:left w:val="nil"/>
              <w:bottom w:val="single" w:sz="4" w:space="0" w:color="auto"/>
              <w:right w:val="single" w:sz="4" w:space="0" w:color="auto"/>
            </w:tcBorders>
            <w:shd w:val="clear" w:color="auto" w:fill="auto"/>
            <w:vAlign w:val="center"/>
          </w:tcPr>
          <w:p w:rsidR="003D02B3" w:rsidP="00C51652" w14:paraId="30A47EA0" w14:textId="77777777">
            <w:pPr>
              <w:spacing w:line="240" w:lineRule="auto"/>
              <w:jc w:val="center"/>
              <w:rPr>
                <w:rFonts w:cs="Arial"/>
                <w:bCs/>
                <w:color w:val="000000"/>
                <w:sz w:val="20"/>
                <w:szCs w:val="20"/>
                <w:lang w:eastAsia="cs-CZ"/>
              </w:rPr>
            </w:pPr>
          </w:p>
        </w:tc>
        <w:tc>
          <w:tcPr>
            <w:tcW w:w="2563" w:type="dxa"/>
            <w:tcBorders>
              <w:top w:val="nil"/>
              <w:left w:val="nil"/>
              <w:bottom w:val="single" w:sz="4" w:space="0" w:color="auto"/>
              <w:right w:val="single" w:sz="4" w:space="0" w:color="auto"/>
            </w:tcBorders>
            <w:shd w:val="clear" w:color="auto" w:fill="auto"/>
            <w:vAlign w:val="center"/>
          </w:tcPr>
          <w:p w:rsidR="003D02B3" w:rsidP="00C51652" w14:paraId="319A7C25" w14:textId="0019222D">
            <w:pPr>
              <w:spacing w:line="240" w:lineRule="auto"/>
              <w:jc w:val="center"/>
              <w:rPr>
                <w:rFonts w:cs="Arial"/>
                <w:bCs/>
                <w:color w:val="000000"/>
                <w:sz w:val="20"/>
                <w:szCs w:val="20"/>
                <w:lang w:eastAsia="cs-CZ"/>
              </w:rPr>
            </w:pPr>
            <w:r>
              <w:rPr>
                <w:rFonts w:cs="Arial"/>
                <w:bCs/>
                <w:color w:val="000000"/>
                <w:sz w:val="20"/>
                <w:szCs w:val="20"/>
                <w:lang w:eastAsia="cs-CZ"/>
              </w:rPr>
              <w:t xml:space="preserve">Nižší informovanost </w:t>
            </w:r>
            <w:r w:rsidRPr="00F40EDF">
              <w:rPr>
                <w:rFonts w:cs="Arial"/>
                <w:bCs/>
                <w:color w:val="000000"/>
                <w:sz w:val="20"/>
                <w:szCs w:val="20"/>
                <w:lang w:eastAsia="cs-CZ"/>
              </w:rPr>
              <w:t>konečných uživatelů o</w:t>
            </w:r>
            <w:r w:rsidR="00F40EDF">
              <w:rPr>
                <w:rFonts w:cs="Arial"/>
                <w:bCs/>
                <w:color w:val="000000"/>
                <w:sz w:val="20"/>
                <w:szCs w:val="20"/>
                <w:lang w:eastAsia="cs-CZ"/>
              </w:rPr>
              <w:t> </w:t>
            </w:r>
            <w:r w:rsidRPr="00F40EDF">
              <w:rPr>
                <w:rFonts w:cs="Arial"/>
                <w:bCs/>
                <w:color w:val="000000"/>
                <w:sz w:val="20"/>
                <w:szCs w:val="20"/>
                <w:lang w:eastAsia="cs-CZ"/>
              </w:rPr>
              <w:t>důležitosti</w:t>
            </w:r>
            <w:r w:rsidR="00B836DA">
              <w:rPr>
                <w:rFonts w:cs="Arial"/>
                <w:bCs/>
                <w:color w:val="000000"/>
                <w:sz w:val="20"/>
                <w:szCs w:val="20"/>
                <w:lang w:eastAsia="cs-CZ"/>
              </w:rPr>
              <w:t xml:space="preserve"> správného nakládání s</w:t>
            </w:r>
            <w:r w:rsidRPr="00F40EDF">
              <w:rPr>
                <w:rFonts w:cs="Arial"/>
                <w:bCs/>
                <w:color w:val="000000"/>
                <w:sz w:val="20"/>
                <w:szCs w:val="20"/>
                <w:lang w:eastAsia="cs-CZ"/>
              </w:rPr>
              <w:t xml:space="preserve"> </w:t>
            </w:r>
            <w:r w:rsidRPr="004433B3" w:rsidR="004433B3">
              <w:rPr>
                <w:rFonts w:cs="Arial"/>
                <w:bCs/>
                <w:color w:val="000000"/>
                <w:sz w:val="20"/>
                <w:szCs w:val="20"/>
                <w:lang w:eastAsia="cs-CZ"/>
              </w:rPr>
              <w:t>jednorázovými plastovými obaly</w:t>
            </w:r>
            <w:r w:rsidRPr="00F40EDF" w:rsidR="004433B3">
              <w:rPr>
                <w:rFonts w:cs="Arial"/>
                <w:bCs/>
                <w:color w:val="000000"/>
                <w:sz w:val="20"/>
                <w:szCs w:val="20"/>
                <w:lang w:eastAsia="cs-CZ"/>
              </w:rPr>
              <w:t xml:space="preserve"> </w:t>
            </w:r>
            <w:r w:rsidRPr="00F40EDF">
              <w:rPr>
                <w:rFonts w:cs="Arial"/>
                <w:bCs/>
                <w:color w:val="000000"/>
                <w:sz w:val="20"/>
                <w:szCs w:val="20"/>
                <w:lang w:eastAsia="cs-CZ"/>
              </w:rPr>
              <w:t>a</w:t>
            </w:r>
            <w:r w:rsidR="00F40EDF">
              <w:rPr>
                <w:rFonts w:cs="Arial"/>
                <w:bCs/>
                <w:color w:val="000000"/>
                <w:sz w:val="20"/>
                <w:szCs w:val="20"/>
                <w:lang w:eastAsia="cs-CZ"/>
              </w:rPr>
              <w:t xml:space="preserve"> o</w:t>
            </w:r>
            <w:r w:rsidRPr="00F40EDF">
              <w:rPr>
                <w:rFonts w:cs="Arial"/>
                <w:bCs/>
                <w:color w:val="000000"/>
                <w:sz w:val="20"/>
                <w:szCs w:val="20"/>
                <w:lang w:eastAsia="cs-CZ"/>
              </w:rPr>
              <w:t xml:space="preserve"> negativních důsledcích nevhodného</w:t>
            </w:r>
            <w:r>
              <w:rPr>
                <w:rFonts w:cs="Arial"/>
                <w:bCs/>
                <w:color w:val="000000"/>
                <w:sz w:val="20"/>
                <w:szCs w:val="20"/>
                <w:lang w:eastAsia="cs-CZ"/>
              </w:rPr>
              <w:t xml:space="preserve"> nakládání s</w:t>
            </w:r>
            <w:r w:rsidR="00C8102B">
              <w:rPr>
                <w:rFonts w:cs="Arial"/>
                <w:bCs/>
                <w:color w:val="000000"/>
                <w:sz w:val="20"/>
                <w:szCs w:val="20"/>
                <w:lang w:eastAsia="cs-CZ"/>
              </w:rPr>
              <w:t> </w:t>
            </w:r>
            <w:r w:rsidR="00F40EDF">
              <w:rPr>
                <w:rFonts w:cs="Arial"/>
                <w:bCs/>
                <w:color w:val="000000"/>
                <w:sz w:val="20"/>
                <w:szCs w:val="20"/>
                <w:lang w:eastAsia="cs-CZ"/>
              </w:rPr>
              <w:t>těmito</w:t>
            </w:r>
            <w:r w:rsidR="00C8102B">
              <w:rPr>
                <w:rFonts w:cs="Arial"/>
                <w:bCs/>
                <w:color w:val="000000"/>
                <w:sz w:val="20"/>
                <w:szCs w:val="20"/>
                <w:lang w:eastAsia="cs-CZ"/>
              </w:rPr>
              <w:t xml:space="preserve"> </w:t>
            </w:r>
            <w:r w:rsidR="004433B3">
              <w:rPr>
                <w:rFonts w:cs="Arial"/>
                <w:bCs/>
                <w:color w:val="000000"/>
                <w:sz w:val="20"/>
                <w:szCs w:val="20"/>
                <w:lang w:eastAsia="cs-CZ"/>
              </w:rPr>
              <w:t>obaly</w:t>
            </w:r>
          </w:p>
        </w:tc>
        <w:tc>
          <w:tcPr>
            <w:tcW w:w="1270" w:type="dxa"/>
            <w:tcBorders>
              <w:top w:val="nil"/>
              <w:left w:val="nil"/>
              <w:bottom w:val="single" w:sz="4" w:space="0" w:color="auto"/>
              <w:right w:val="single" w:sz="4" w:space="0" w:color="auto"/>
            </w:tcBorders>
            <w:shd w:val="clear" w:color="auto" w:fill="auto"/>
            <w:vAlign w:val="center"/>
          </w:tcPr>
          <w:p w:rsidR="003D02B3" w:rsidP="00C51652" w14:paraId="0E995DE1" w14:textId="77777777">
            <w:pPr>
              <w:spacing w:line="240" w:lineRule="auto"/>
              <w:jc w:val="center"/>
              <w:rPr>
                <w:rFonts w:cs="Arial"/>
                <w:bCs/>
                <w:color w:val="000000"/>
                <w:sz w:val="20"/>
                <w:szCs w:val="20"/>
                <w:lang w:eastAsia="cs-CZ"/>
              </w:rPr>
            </w:pPr>
            <w:r>
              <w:rPr>
                <w:rFonts w:cs="Arial"/>
                <w:bCs/>
                <w:color w:val="000000"/>
                <w:sz w:val="20"/>
                <w:szCs w:val="20"/>
                <w:lang w:eastAsia="cs-CZ"/>
              </w:rPr>
              <w:t>***</w:t>
            </w:r>
          </w:p>
        </w:tc>
      </w:tr>
      <w:tr w14:paraId="2073DDFD" w14:textId="77777777" w:rsidTr="003D02B3">
        <w:tblPrEx>
          <w:tblW w:w="9062" w:type="dxa"/>
          <w:tblCellMar>
            <w:left w:w="70" w:type="dxa"/>
            <w:right w:w="70" w:type="dxa"/>
          </w:tblCellMar>
          <w:tblLook w:val="04A0"/>
        </w:tblPrEx>
        <w:trPr>
          <w:trHeight w:val="499"/>
        </w:trPr>
        <w:tc>
          <w:tcPr>
            <w:tcW w:w="1119" w:type="dxa"/>
            <w:tcBorders>
              <w:top w:val="nil"/>
              <w:left w:val="single" w:sz="4" w:space="0" w:color="auto"/>
              <w:bottom w:val="nil"/>
              <w:right w:val="single" w:sz="4" w:space="0" w:color="auto"/>
            </w:tcBorders>
            <w:vAlign w:val="center"/>
          </w:tcPr>
          <w:p w:rsidR="003D02B3" w:rsidRPr="0087335F" w:rsidP="003D02B3" w14:paraId="706B84B8" w14:textId="77777777">
            <w:pPr>
              <w:spacing w:line="240" w:lineRule="auto"/>
              <w:jc w:val="left"/>
              <w:rPr>
                <w:rFonts w:cs="Arial"/>
                <w:b/>
                <w:bCs/>
                <w:color w:val="000000"/>
                <w:sz w:val="20"/>
                <w:szCs w:val="20"/>
                <w:lang w:eastAsia="cs-CZ"/>
              </w:rPr>
            </w:pPr>
          </w:p>
        </w:tc>
        <w:tc>
          <w:tcPr>
            <w:tcW w:w="7943" w:type="dxa"/>
            <w:gridSpan w:val="4"/>
            <w:tcBorders>
              <w:top w:val="nil"/>
              <w:left w:val="nil"/>
              <w:bottom w:val="single" w:sz="4" w:space="0" w:color="auto"/>
              <w:right w:val="single" w:sz="4" w:space="0" w:color="auto"/>
            </w:tcBorders>
            <w:shd w:val="clear" w:color="auto" w:fill="auto"/>
            <w:vAlign w:val="center"/>
          </w:tcPr>
          <w:p w:rsidR="003D02B3" w:rsidP="00C51652" w14:paraId="67CF8D7D" w14:textId="77777777">
            <w:pPr>
              <w:spacing w:line="240" w:lineRule="auto"/>
              <w:jc w:val="center"/>
              <w:rPr>
                <w:rFonts w:cs="Arial"/>
                <w:bCs/>
                <w:color w:val="000000"/>
                <w:sz w:val="20"/>
                <w:szCs w:val="20"/>
                <w:lang w:eastAsia="cs-CZ"/>
              </w:rPr>
            </w:pPr>
            <w:r w:rsidRPr="0087335F">
              <w:rPr>
                <w:rFonts w:cs="Arial"/>
                <w:b/>
                <w:bCs/>
                <w:color w:val="000000"/>
                <w:sz w:val="20"/>
                <w:szCs w:val="20"/>
                <w:lang w:eastAsia="cs-CZ"/>
              </w:rPr>
              <w:t>Územní samosprávné celky (obce, kraje)</w:t>
            </w:r>
          </w:p>
        </w:tc>
      </w:tr>
      <w:tr w14:paraId="0CFBCCEF" w14:textId="77777777" w:rsidTr="003D02B3">
        <w:tblPrEx>
          <w:tblW w:w="9062" w:type="dxa"/>
          <w:tblCellMar>
            <w:left w:w="70" w:type="dxa"/>
            <w:right w:w="70" w:type="dxa"/>
          </w:tblCellMar>
          <w:tblLook w:val="04A0"/>
        </w:tblPrEx>
        <w:trPr>
          <w:trHeight w:val="499"/>
        </w:trPr>
        <w:tc>
          <w:tcPr>
            <w:tcW w:w="1119" w:type="dxa"/>
            <w:tcBorders>
              <w:top w:val="nil"/>
              <w:left w:val="single" w:sz="4" w:space="0" w:color="auto"/>
              <w:bottom w:val="nil"/>
              <w:right w:val="single" w:sz="4" w:space="0" w:color="auto"/>
            </w:tcBorders>
            <w:vAlign w:val="center"/>
          </w:tcPr>
          <w:p w:rsidR="003D02B3" w:rsidRPr="0087335F" w:rsidP="003D02B3" w14:paraId="1817E3C4" w14:textId="77777777">
            <w:pPr>
              <w:spacing w:line="240" w:lineRule="auto"/>
              <w:jc w:val="left"/>
              <w:rPr>
                <w:rFonts w:cs="Arial"/>
                <w:b/>
                <w:bCs/>
                <w:color w:val="000000"/>
                <w:sz w:val="20"/>
                <w:szCs w:val="20"/>
                <w:lang w:eastAsia="cs-CZ"/>
              </w:rPr>
            </w:pPr>
          </w:p>
        </w:tc>
        <w:tc>
          <w:tcPr>
            <w:tcW w:w="2845" w:type="dxa"/>
            <w:tcBorders>
              <w:top w:val="nil"/>
              <w:left w:val="nil"/>
              <w:bottom w:val="single" w:sz="4" w:space="0" w:color="auto"/>
              <w:right w:val="single" w:sz="4" w:space="0" w:color="auto"/>
            </w:tcBorders>
            <w:shd w:val="clear" w:color="auto" w:fill="auto"/>
            <w:vAlign w:val="center"/>
          </w:tcPr>
          <w:p w:rsidR="003D02B3" w:rsidP="00C51652" w14:paraId="67899A29" w14:textId="77777777">
            <w:pPr>
              <w:spacing w:line="240" w:lineRule="auto"/>
              <w:jc w:val="center"/>
              <w:rPr>
                <w:rFonts w:cs="Arial"/>
                <w:bCs/>
                <w:color w:val="000000"/>
                <w:sz w:val="20"/>
                <w:szCs w:val="20"/>
                <w:lang w:eastAsia="cs-CZ"/>
              </w:rPr>
            </w:pPr>
          </w:p>
        </w:tc>
        <w:tc>
          <w:tcPr>
            <w:tcW w:w="1265" w:type="dxa"/>
            <w:tcBorders>
              <w:top w:val="nil"/>
              <w:left w:val="nil"/>
              <w:bottom w:val="single" w:sz="4" w:space="0" w:color="auto"/>
              <w:right w:val="single" w:sz="4" w:space="0" w:color="auto"/>
            </w:tcBorders>
            <w:shd w:val="clear" w:color="auto" w:fill="auto"/>
            <w:vAlign w:val="center"/>
          </w:tcPr>
          <w:p w:rsidR="003D02B3" w:rsidP="00C51652" w14:paraId="24EC0D6F" w14:textId="77777777">
            <w:pPr>
              <w:spacing w:line="240" w:lineRule="auto"/>
              <w:jc w:val="center"/>
              <w:rPr>
                <w:rFonts w:cs="Arial"/>
                <w:bCs/>
                <w:color w:val="000000"/>
                <w:sz w:val="20"/>
                <w:szCs w:val="20"/>
                <w:lang w:eastAsia="cs-CZ"/>
              </w:rPr>
            </w:pPr>
          </w:p>
        </w:tc>
        <w:tc>
          <w:tcPr>
            <w:tcW w:w="2563" w:type="dxa"/>
            <w:tcBorders>
              <w:top w:val="nil"/>
              <w:left w:val="nil"/>
              <w:bottom w:val="single" w:sz="4" w:space="0" w:color="auto"/>
              <w:right w:val="single" w:sz="4" w:space="0" w:color="auto"/>
            </w:tcBorders>
            <w:shd w:val="clear" w:color="auto" w:fill="auto"/>
            <w:vAlign w:val="center"/>
          </w:tcPr>
          <w:p w:rsidR="003D02B3" w:rsidP="00C51652" w14:paraId="0ECC1C71" w14:textId="2DBE2758">
            <w:pPr>
              <w:spacing w:line="240" w:lineRule="auto"/>
              <w:jc w:val="center"/>
              <w:rPr>
                <w:rFonts w:cs="Arial"/>
                <w:bCs/>
                <w:color w:val="000000"/>
                <w:sz w:val="20"/>
                <w:szCs w:val="20"/>
                <w:lang w:eastAsia="cs-CZ"/>
              </w:rPr>
            </w:pPr>
            <w:r>
              <w:rPr>
                <w:rFonts w:cs="Arial"/>
                <w:bCs/>
                <w:color w:val="000000"/>
                <w:sz w:val="20"/>
                <w:szCs w:val="20"/>
                <w:lang w:eastAsia="cs-CZ"/>
              </w:rPr>
              <w:t xml:space="preserve">Náklady na </w:t>
            </w:r>
            <w:r w:rsidR="00C8102B">
              <w:rPr>
                <w:rFonts w:cs="Arial"/>
                <w:bCs/>
                <w:color w:val="000000"/>
                <w:sz w:val="20"/>
                <w:szCs w:val="20"/>
                <w:lang w:eastAsia="cs-CZ"/>
              </w:rPr>
              <w:t xml:space="preserve">úklid litteringu, jehož podstatnou součást tvoří </w:t>
            </w:r>
            <w:r w:rsidRPr="004433B3" w:rsidR="004433B3">
              <w:rPr>
                <w:rFonts w:cs="Arial"/>
                <w:bCs/>
                <w:color w:val="000000"/>
                <w:sz w:val="20"/>
                <w:szCs w:val="20"/>
                <w:lang w:eastAsia="cs-CZ"/>
              </w:rPr>
              <w:t>jednorázov</w:t>
            </w:r>
            <w:r w:rsidR="004433B3">
              <w:rPr>
                <w:rFonts w:cs="Arial"/>
                <w:bCs/>
                <w:color w:val="000000"/>
                <w:sz w:val="20"/>
                <w:szCs w:val="20"/>
                <w:lang w:eastAsia="cs-CZ"/>
              </w:rPr>
              <w:t xml:space="preserve">é </w:t>
            </w:r>
            <w:r w:rsidRPr="004433B3" w:rsidR="004433B3">
              <w:rPr>
                <w:rFonts w:cs="Arial"/>
                <w:bCs/>
                <w:color w:val="000000"/>
                <w:sz w:val="20"/>
                <w:szCs w:val="20"/>
                <w:lang w:eastAsia="cs-CZ"/>
              </w:rPr>
              <w:t>plastov</w:t>
            </w:r>
            <w:r w:rsidR="004433B3">
              <w:rPr>
                <w:rFonts w:cs="Arial"/>
                <w:bCs/>
                <w:color w:val="000000"/>
                <w:sz w:val="20"/>
                <w:szCs w:val="20"/>
                <w:lang w:eastAsia="cs-CZ"/>
              </w:rPr>
              <w:t>é</w:t>
            </w:r>
            <w:r w:rsidRPr="004433B3" w:rsidR="004433B3">
              <w:rPr>
                <w:rFonts w:cs="Arial"/>
                <w:bCs/>
                <w:color w:val="000000"/>
                <w:sz w:val="20"/>
                <w:szCs w:val="20"/>
                <w:lang w:eastAsia="cs-CZ"/>
              </w:rPr>
              <w:t xml:space="preserve"> obal</w:t>
            </w:r>
            <w:r w:rsidR="004433B3">
              <w:rPr>
                <w:rFonts w:cs="Arial"/>
                <w:bCs/>
                <w:color w:val="000000"/>
                <w:sz w:val="20"/>
                <w:szCs w:val="20"/>
                <w:lang w:eastAsia="cs-CZ"/>
              </w:rPr>
              <w:t>y</w:t>
            </w:r>
          </w:p>
        </w:tc>
        <w:tc>
          <w:tcPr>
            <w:tcW w:w="1270" w:type="dxa"/>
            <w:tcBorders>
              <w:top w:val="nil"/>
              <w:left w:val="nil"/>
              <w:bottom w:val="single" w:sz="4" w:space="0" w:color="auto"/>
              <w:right w:val="single" w:sz="4" w:space="0" w:color="auto"/>
            </w:tcBorders>
            <w:shd w:val="clear" w:color="auto" w:fill="auto"/>
            <w:vAlign w:val="center"/>
          </w:tcPr>
          <w:p w:rsidR="003D02B3" w:rsidP="00C51652" w14:paraId="476BC89B" w14:textId="77777777">
            <w:pPr>
              <w:spacing w:line="240" w:lineRule="auto"/>
              <w:jc w:val="center"/>
              <w:rPr>
                <w:rFonts w:cs="Arial"/>
                <w:bCs/>
                <w:color w:val="000000"/>
                <w:sz w:val="20"/>
                <w:szCs w:val="20"/>
                <w:lang w:eastAsia="cs-CZ"/>
              </w:rPr>
            </w:pPr>
            <w:r>
              <w:rPr>
                <w:rFonts w:cs="Arial"/>
                <w:bCs/>
                <w:color w:val="000000"/>
                <w:sz w:val="20"/>
                <w:szCs w:val="20"/>
                <w:lang w:eastAsia="cs-CZ"/>
              </w:rPr>
              <w:t>**</w:t>
            </w:r>
          </w:p>
        </w:tc>
      </w:tr>
      <w:tr w14:paraId="002DC5C4" w14:textId="77777777" w:rsidTr="003D02B3">
        <w:tblPrEx>
          <w:tblW w:w="9062" w:type="dxa"/>
          <w:tblCellMar>
            <w:left w:w="70" w:type="dxa"/>
            <w:right w:w="70" w:type="dxa"/>
          </w:tblCellMar>
          <w:tblLook w:val="04A0"/>
        </w:tblPrEx>
        <w:trPr>
          <w:trHeight w:val="351"/>
        </w:trPr>
        <w:tc>
          <w:tcPr>
            <w:tcW w:w="1119" w:type="dxa"/>
            <w:tcBorders>
              <w:top w:val="nil"/>
              <w:left w:val="single" w:sz="4" w:space="0" w:color="auto"/>
              <w:bottom w:val="nil"/>
              <w:right w:val="single" w:sz="4" w:space="0" w:color="auto"/>
            </w:tcBorders>
            <w:vAlign w:val="center"/>
          </w:tcPr>
          <w:p w:rsidR="003D02B3" w:rsidRPr="0087335F" w:rsidP="003D02B3" w14:paraId="32F1B282" w14:textId="77777777">
            <w:pPr>
              <w:spacing w:line="240" w:lineRule="auto"/>
              <w:jc w:val="left"/>
              <w:rPr>
                <w:rFonts w:cs="Arial"/>
                <w:b/>
                <w:bCs/>
                <w:color w:val="000000"/>
                <w:sz w:val="20"/>
                <w:szCs w:val="20"/>
                <w:lang w:eastAsia="cs-CZ"/>
              </w:rPr>
            </w:pPr>
          </w:p>
        </w:tc>
        <w:tc>
          <w:tcPr>
            <w:tcW w:w="7943" w:type="dxa"/>
            <w:gridSpan w:val="4"/>
            <w:tcBorders>
              <w:top w:val="nil"/>
              <w:left w:val="nil"/>
              <w:bottom w:val="single" w:sz="4" w:space="0" w:color="auto"/>
              <w:right w:val="single" w:sz="4" w:space="0" w:color="auto"/>
            </w:tcBorders>
            <w:shd w:val="clear" w:color="auto" w:fill="auto"/>
            <w:vAlign w:val="center"/>
          </w:tcPr>
          <w:p w:rsidR="003D02B3" w:rsidRPr="006C6EAE" w:rsidP="00C51652" w14:paraId="7D59FC37" w14:textId="77777777">
            <w:pPr>
              <w:spacing w:line="240" w:lineRule="auto"/>
              <w:jc w:val="center"/>
              <w:rPr>
                <w:rFonts w:cs="Arial"/>
                <w:color w:val="000000"/>
                <w:sz w:val="20"/>
                <w:szCs w:val="20"/>
                <w:lang w:eastAsia="cs-CZ"/>
              </w:rPr>
            </w:pPr>
            <w:r w:rsidRPr="00C10EB0">
              <w:rPr>
                <w:rFonts w:cs="Arial"/>
                <w:b/>
                <w:bCs/>
                <w:color w:val="000000"/>
                <w:sz w:val="20"/>
                <w:szCs w:val="20"/>
                <w:lang w:eastAsia="cs-CZ"/>
              </w:rPr>
              <w:t>Životní prostředí</w:t>
            </w:r>
          </w:p>
        </w:tc>
      </w:tr>
      <w:tr w14:paraId="7E70D4BA" w14:textId="77777777" w:rsidTr="003D02B3">
        <w:tblPrEx>
          <w:tblW w:w="9062" w:type="dxa"/>
          <w:tblCellMar>
            <w:left w:w="70" w:type="dxa"/>
            <w:right w:w="70" w:type="dxa"/>
          </w:tblCellMar>
          <w:tblLook w:val="04A0"/>
        </w:tblPrEx>
        <w:trPr>
          <w:trHeight w:val="351"/>
        </w:trPr>
        <w:tc>
          <w:tcPr>
            <w:tcW w:w="1119" w:type="dxa"/>
            <w:tcBorders>
              <w:top w:val="nil"/>
              <w:left w:val="single" w:sz="4" w:space="0" w:color="auto"/>
              <w:bottom w:val="nil"/>
              <w:right w:val="single" w:sz="4" w:space="0" w:color="auto"/>
            </w:tcBorders>
            <w:vAlign w:val="center"/>
          </w:tcPr>
          <w:p w:rsidR="003D02B3" w:rsidRPr="0087335F" w:rsidP="003D02B3" w14:paraId="7708A660" w14:textId="77777777">
            <w:pPr>
              <w:spacing w:line="240" w:lineRule="auto"/>
              <w:jc w:val="left"/>
              <w:rPr>
                <w:rFonts w:cs="Arial"/>
                <w:b/>
                <w:bCs/>
                <w:color w:val="000000"/>
                <w:sz w:val="20"/>
                <w:szCs w:val="20"/>
                <w:lang w:eastAsia="cs-CZ"/>
              </w:rPr>
            </w:pPr>
          </w:p>
        </w:tc>
        <w:tc>
          <w:tcPr>
            <w:tcW w:w="2845" w:type="dxa"/>
            <w:tcBorders>
              <w:top w:val="nil"/>
              <w:left w:val="nil"/>
              <w:bottom w:val="single" w:sz="4" w:space="0" w:color="auto"/>
              <w:right w:val="single" w:sz="4" w:space="0" w:color="auto"/>
            </w:tcBorders>
            <w:shd w:val="clear" w:color="auto" w:fill="auto"/>
            <w:vAlign w:val="center"/>
          </w:tcPr>
          <w:p w:rsidR="003D02B3" w:rsidP="00C51652" w14:paraId="21E3973B" w14:textId="77777777">
            <w:pPr>
              <w:spacing w:line="240" w:lineRule="auto"/>
              <w:jc w:val="center"/>
              <w:rPr>
                <w:rFonts w:cs="Arial"/>
                <w:sz w:val="20"/>
                <w:szCs w:val="20"/>
              </w:rPr>
            </w:pPr>
          </w:p>
        </w:tc>
        <w:tc>
          <w:tcPr>
            <w:tcW w:w="1265" w:type="dxa"/>
            <w:tcBorders>
              <w:top w:val="nil"/>
              <w:left w:val="nil"/>
              <w:bottom w:val="single" w:sz="4" w:space="0" w:color="auto"/>
              <w:right w:val="single" w:sz="4" w:space="0" w:color="auto"/>
            </w:tcBorders>
            <w:shd w:val="clear" w:color="auto" w:fill="auto"/>
            <w:noWrap/>
            <w:vAlign w:val="center"/>
          </w:tcPr>
          <w:p w:rsidR="003D02B3" w:rsidP="00C51652" w14:paraId="332D78F1" w14:textId="77777777">
            <w:pPr>
              <w:spacing w:line="240" w:lineRule="auto"/>
              <w:jc w:val="center"/>
              <w:rPr>
                <w:rFonts w:cs="Arial"/>
                <w:color w:val="000000"/>
                <w:sz w:val="20"/>
                <w:szCs w:val="20"/>
                <w:lang w:eastAsia="cs-CZ"/>
              </w:rPr>
            </w:pPr>
          </w:p>
        </w:tc>
        <w:tc>
          <w:tcPr>
            <w:tcW w:w="2563" w:type="dxa"/>
            <w:tcBorders>
              <w:top w:val="nil"/>
              <w:left w:val="nil"/>
              <w:bottom w:val="single" w:sz="4" w:space="0" w:color="auto"/>
              <w:right w:val="single" w:sz="4" w:space="0" w:color="auto"/>
            </w:tcBorders>
            <w:shd w:val="clear" w:color="auto" w:fill="auto"/>
            <w:vAlign w:val="center"/>
          </w:tcPr>
          <w:p w:rsidR="003D02B3" w:rsidRPr="00E94D07" w:rsidP="00C51652" w14:paraId="72858C77" w14:textId="17A325C0">
            <w:pPr>
              <w:spacing w:line="240" w:lineRule="auto"/>
              <w:jc w:val="center"/>
              <w:rPr>
                <w:rFonts w:cs="Arial"/>
                <w:color w:val="000000"/>
                <w:sz w:val="20"/>
                <w:szCs w:val="20"/>
                <w:lang w:eastAsia="cs-CZ"/>
              </w:rPr>
            </w:pPr>
            <w:r>
              <w:rPr>
                <w:rFonts w:cs="Arial"/>
                <w:color w:val="000000"/>
                <w:sz w:val="20"/>
                <w:szCs w:val="20"/>
                <w:lang w:eastAsia="cs-CZ"/>
              </w:rPr>
              <w:t>Z</w:t>
            </w:r>
            <w:r>
              <w:rPr>
                <w:rFonts w:cs="Arial"/>
                <w:color w:val="000000"/>
                <w:sz w:val="20"/>
                <w:szCs w:val="20"/>
                <w:lang w:eastAsia="cs-CZ"/>
              </w:rPr>
              <w:t xml:space="preserve">nečištění životního </w:t>
            </w:r>
            <w:r>
              <w:rPr>
                <w:rFonts w:cs="Arial"/>
                <w:color w:val="000000"/>
                <w:sz w:val="20"/>
                <w:szCs w:val="20"/>
                <w:lang w:eastAsia="cs-CZ"/>
              </w:rPr>
              <w:t xml:space="preserve">prostředí plastovými </w:t>
            </w:r>
            <w:r w:rsidR="00DB37D0">
              <w:rPr>
                <w:rFonts w:cs="Arial"/>
                <w:color w:val="000000"/>
                <w:sz w:val="20"/>
                <w:szCs w:val="20"/>
                <w:lang w:eastAsia="cs-CZ"/>
              </w:rPr>
              <w:t>obaly</w:t>
            </w:r>
          </w:p>
        </w:tc>
        <w:tc>
          <w:tcPr>
            <w:tcW w:w="1270" w:type="dxa"/>
            <w:tcBorders>
              <w:top w:val="nil"/>
              <w:left w:val="nil"/>
              <w:bottom w:val="single" w:sz="4" w:space="0" w:color="auto"/>
              <w:right w:val="single" w:sz="4" w:space="0" w:color="auto"/>
            </w:tcBorders>
            <w:shd w:val="clear" w:color="auto" w:fill="auto"/>
            <w:noWrap/>
            <w:vAlign w:val="center"/>
          </w:tcPr>
          <w:p w:rsidR="003D02B3" w:rsidRPr="006C6EAE" w:rsidP="00C51652" w14:paraId="086AA60C" w14:textId="77777777">
            <w:pPr>
              <w:spacing w:line="240" w:lineRule="auto"/>
              <w:jc w:val="center"/>
              <w:rPr>
                <w:rFonts w:cs="Arial"/>
                <w:color w:val="000000"/>
                <w:sz w:val="20"/>
                <w:szCs w:val="20"/>
                <w:lang w:eastAsia="cs-CZ"/>
              </w:rPr>
            </w:pPr>
            <w:r>
              <w:rPr>
                <w:rFonts w:cs="Arial"/>
                <w:color w:val="000000"/>
                <w:sz w:val="20"/>
                <w:szCs w:val="20"/>
                <w:lang w:eastAsia="cs-CZ"/>
              </w:rPr>
              <w:t>**</w:t>
            </w:r>
          </w:p>
        </w:tc>
      </w:tr>
      <w:tr w14:paraId="4E05032D" w14:textId="77777777" w:rsidTr="00613DE6">
        <w:tblPrEx>
          <w:tblW w:w="9062" w:type="dxa"/>
          <w:tblCellMar>
            <w:left w:w="70" w:type="dxa"/>
            <w:right w:w="70" w:type="dxa"/>
          </w:tblCellMar>
          <w:tblLook w:val="04A0"/>
        </w:tblPrEx>
        <w:trPr>
          <w:trHeight w:val="499"/>
        </w:trPr>
        <w:tc>
          <w:tcPr>
            <w:tcW w:w="1119" w:type="dxa"/>
            <w:vMerge w:val="restart"/>
            <w:tcBorders>
              <w:top w:val="single" w:sz="4" w:space="0" w:color="auto"/>
              <w:left w:val="single" w:sz="4" w:space="0" w:color="auto"/>
              <w:right w:val="single" w:sz="4" w:space="0" w:color="auto"/>
            </w:tcBorders>
            <w:shd w:val="clear" w:color="auto" w:fill="auto"/>
            <w:noWrap/>
            <w:vAlign w:val="center"/>
            <w:hideMark/>
          </w:tcPr>
          <w:p w:rsidR="00A75EC7" w:rsidRPr="0087335F" w:rsidP="003D02B3" w14:paraId="499DD084" w14:textId="77777777">
            <w:pPr>
              <w:spacing w:line="240" w:lineRule="auto"/>
              <w:jc w:val="center"/>
              <w:rPr>
                <w:rFonts w:cs="Arial"/>
                <w:b/>
                <w:bCs/>
                <w:color w:val="000000"/>
                <w:sz w:val="20"/>
                <w:szCs w:val="20"/>
                <w:lang w:eastAsia="cs-CZ"/>
              </w:rPr>
            </w:pPr>
            <w:r w:rsidRPr="0087335F">
              <w:rPr>
                <w:rFonts w:cs="Arial"/>
                <w:b/>
                <w:bCs/>
                <w:color w:val="000000"/>
                <w:sz w:val="20"/>
                <w:szCs w:val="20"/>
                <w:lang w:eastAsia="cs-CZ"/>
              </w:rPr>
              <w:t>Varianta 1</w:t>
            </w:r>
          </w:p>
        </w:tc>
        <w:tc>
          <w:tcPr>
            <w:tcW w:w="7943" w:type="dxa"/>
            <w:gridSpan w:val="4"/>
            <w:tcBorders>
              <w:top w:val="single" w:sz="4" w:space="0" w:color="auto"/>
              <w:left w:val="nil"/>
              <w:bottom w:val="single" w:sz="4" w:space="0" w:color="auto"/>
              <w:right w:val="single" w:sz="4" w:space="0" w:color="auto"/>
            </w:tcBorders>
            <w:shd w:val="clear" w:color="auto" w:fill="auto"/>
            <w:vAlign w:val="center"/>
            <w:hideMark/>
          </w:tcPr>
          <w:p w:rsidR="00A75EC7" w:rsidRPr="0087335F" w:rsidP="00C51652" w14:paraId="465535FD" w14:textId="77777777">
            <w:pPr>
              <w:spacing w:line="240" w:lineRule="auto"/>
              <w:jc w:val="center"/>
              <w:rPr>
                <w:rFonts w:cs="Arial"/>
                <w:b/>
                <w:bCs/>
                <w:color w:val="000000"/>
                <w:sz w:val="20"/>
                <w:szCs w:val="20"/>
                <w:lang w:eastAsia="cs-CZ"/>
              </w:rPr>
            </w:pPr>
            <w:r w:rsidRPr="0087335F">
              <w:rPr>
                <w:rFonts w:cs="Arial"/>
                <w:b/>
                <w:bCs/>
                <w:color w:val="000000"/>
                <w:sz w:val="20"/>
                <w:szCs w:val="20"/>
                <w:lang w:eastAsia="cs-CZ"/>
              </w:rPr>
              <w:t>Státní rozpočet a ostatní veřejné rozpočty</w:t>
            </w:r>
          </w:p>
        </w:tc>
      </w:tr>
      <w:tr w14:paraId="3D3E7B7E" w14:textId="77777777" w:rsidTr="00613DE6">
        <w:tblPrEx>
          <w:tblW w:w="9062" w:type="dxa"/>
          <w:tblCellMar>
            <w:left w:w="70" w:type="dxa"/>
            <w:right w:w="70" w:type="dxa"/>
          </w:tblCellMar>
          <w:tblLook w:val="04A0"/>
        </w:tblPrEx>
        <w:trPr>
          <w:trHeight w:val="338"/>
        </w:trPr>
        <w:tc>
          <w:tcPr>
            <w:tcW w:w="1119" w:type="dxa"/>
            <w:vMerge/>
            <w:tcBorders>
              <w:left w:val="single" w:sz="4" w:space="0" w:color="auto"/>
              <w:right w:val="single" w:sz="4" w:space="0" w:color="auto"/>
            </w:tcBorders>
            <w:vAlign w:val="center"/>
            <w:hideMark/>
          </w:tcPr>
          <w:p w:rsidR="00A75EC7" w:rsidRPr="0087335F" w:rsidP="003D02B3" w14:paraId="3157AE24" w14:textId="77777777">
            <w:pPr>
              <w:spacing w:line="240" w:lineRule="auto"/>
              <w:jc w:val="left"/>
              <w:rPr>
                <w:rFonts w:cs="Arial"/>
                <w:b/>
                <w:bCs/>
                <w:color w:val="000000"/>
                <w:sz w:val="20"/>
                <w:szCs w:val="20"/>
                <w:lang w:eastAsia="cs-CZ"/>
              </w:rPr>
            </w:pPr>
          </w:p>
        </w:tc>
        <w:tc>
          <w:tcPr>
            <w:tcW w:w="2845" w:type="dxa"/>
            <w:tcBorders>
              <w:top w:val="nil"/>
              <w:left w:val="nil"/>
              <w:bottom w:val="single" w:sz="4" w:space="0" w:color="auto"/>
              <w:right w:val="single" w:sz="4" w:space="0" w:color="auto"/>
            </w:tcBorders>
            <w:shd w:val="clear" w:color="auto" w:fill="auto"/>
            <w:vAlign w:val="center"/>
          </w:tcPr>
          <w:p w:rsidR="00A75EC7" w:rsidRPr="00C62E8C" w:rsidP="00C51652" w14:paraId="0BC057EC" w14:textId="004A3E94">
            <w:pPr>
              <w:spacing w:line="240" w:lineRule="auto"/>
              <w:jc w:val="center"/>
              <w:rPr>
                <w:rFonts w:cs="Arial"/>
                <w:bCs/>
                <w:color w:val="000000"/>
                <w:sz w:val="20"/>
                <w:szCs w:val="20"/>
                <w:lang w:eastAsia="cs-CZ"/>
              </w:rPr>
            </w:pPr>
            <w:r w:rsidRPr="00F40EDF">
              <w:rPr>
                <w:rFonts w:cs="Arial"/>
                <w:bCs/>
                <w:color w:val="000000"/>
                <w:sz w:val="20"/>
                <w:szCs w:val="20"/>
                <w:lang w:eastAsia="cs-CZ"/>
              </w:rPr>
              <w:t xml:space="preserve">Zvýšením informovanosti konečných uživatelů se sníží se riziko nesplnění cílů Směrnice SUP a následného </w:t>
            </w:r>
            <w:r w:rsidRPr="00F40EDF">
              <w:rPr>
                <w:rFonts w:cs="Arial"/>
                <w:bCs/>
                <w:color w:val="000000"/>
                <w:sz w:val="20"/>
                <w:szCs w:val="20"/>
                <w:lang w:eastAsia="cs-CZ"/>
              </w:rPr>
              <w:t>infringementu</w:t>
            </w:r>
          </w:p>
        </w:tc>
        <w:tc>
          <w:tcPr>
            <w:tcW w:w="1265" w:type="dxa"/>
            <w:tcBorders>
              <w:top w:val="nil"/>
              <w:left w:val="nil"/>
              <w:bottom w:val="single" w:sz="4" w:space="0" w:color="auto"/>
              <w:right w:val="single" w:sz="4" w:space="0" w:color="auto"/>
            </w:tcBorders>
            <w:shd w:val="clear" w:color="auto" w:fill="auto"/>
            <w:vAlign w:val="center"/>
          </w:tcPr>
          <w:p w:rsidR="00A75EC7" w:rsidRPr="0087335F" w:rsidP="00C51652" w14:paraId="6CF9BF17" w14:textId="77777777">
            <w:pPr>
              <w:spacing w:line="240" w:lineRule="auto"/>
              <w:jc w:val="center"/>
              <w:rPr>
                <w:rFonts w:cs="Arial"/>
                <w:b/>
                <w:bCs/>
                <w:color w:val="000000"/>
                <w:sz w:val="20"/>
                <w:szCs w:val="20"/>
                <w:lang w:eastAsia="cs-CZ"/>
              </w:rPr>
            </w:pPr>
            <w:r>
              <w:rPr>
                <w:rFonts w:cs="Arial"/>
                <w:b/>
                <w:bCs/>
                <w:color w:val="000000"/>
                <w:sz w:val="20"/>
                <w:szCs w:val="20"/>
                <w:lang w:eastAsia="cs-CZ"/>
              </w:rPr>
              <w:t>*****</w:t>
            </w:r>
          </w:p>
        </w:tc>
        <w:tc>
          <w:tcPr>
            <w:tcW w:w="2563" w:type="dxa"/>
            <w:tcBorders>
              <w:top w:val="nil"/>
              <w:left w:val="nil"/>
              <w:bottom w:val="single" w:sz="4" w:space="0" w:color="auto"/>
              <w:right w:val="single" w:sz="4" w:space="0" w:color="auto"/>
            </w:tcBorders>
            <w:shd w:val="clear" w:color="auto" w:fill="auto"/>
            <w:vAlign w:val="center"/>
          </w:tcPr>
          <w:p w:rsidR="00A75EC7" w:rsidRPr="00432AD1" w:rsidP="00C51652" w14:paraId="4424C4B3" w14:textId="77777777">
            <w:pPr>
              <w:spacing w:line="240" w:lineRule="auto"/>
              <w:jc w:val="center"/>
              <w:rPr>
                <w:rFonts w:cs="Arial"/>
                <w:bCs/>
                <w:color w:val="000000"/>
                <w:sz w:val="20"/>
                <w:szCs w:val="20"/>
                <w:lang w:eastAsia="cs-CZ"/>
              </w:rPr>
            </w:pPr>
          </w:p>
        </w:tc>
        <w:tc>
          <w:tcPr>
            <w:tcW w:w="1270" w:type="dxa"/>
            <w:tcBorders>
              <w:top w:val="nil"/>
              <w:left w:val="nil"/>
              <w:bottom w:val="single" w:sz="4" w:space="0" w:color="auto"/>
              <w:right w:val="single" w:sz="4" w:space="0" w:color="auto"/>
            </w:tcBorders>
            <w:shd w:val="clear" w:color="auto" w:fill="auto"/>
            <w:vAlign w:val="center"/>
          </w:tcPr>
          <w:p w:rsidR="00A75EC7" w:rsidRPr="00830AC2" w:rsidP="00C51652" w14:paraId="519ADDDE" w14:textId="77777777">
            <w:pPr>
              <w:spacing w:line="240" w:lineRule="auto"/>
              <w:jc w:val="center"/>
              <w:rPr>
                <w:rFonts w:cs="Arial"/>
                <w:bCs/>
                <w:color w:val="000000"/>
                <w:sz w:val="20"/>
                <w:szCs w:val="20"/>
                <w:lang w:eastAsia="cs-CZ"/>
              </w:rPr>
            </w:pPr>
          </w:p>
        </w:tc>
      </w:tr>
      <w:tr w14:paraId="61DD8F2E" w14:textId="77777777" w:rsidTr="00613DE6">
        <w:tblPrEx>
          <w:tblW w:w="9062" w:type="dxa"/>
          <w:tblCellMar>
            <w:left w:w="70" w:type="dxa"/>
            <w:right w:w="70" w:type="dxa"/>
          </w:tblCellMar>
          <w:tblLook w:val="04A0"/>
        </w:tblPrEx>
        <w:trPr>
          <w:trHeight w:val="499"/>
        </w:trPr>
        <w:tc>
          <w:tcPr>
            <w:tcW w:w="1119" w:type="dxa"/>
            <w:vMerge/>
            <w:tcBorders>
              <w:left w:val="single" w:sz="4" w:space="0" w:color="auto"/>
              <w:right w:val="single" w:sz="4" w:space="0" w:color="auto"/>
            </w:tcBorders>
            <w:vAlign w:val="center"/>
            <w:hideMark/>
          </w:tcPr>
          <w:p w:rsidR="00A75EC7" w:rsidRPr="0087335F" w:rsidP="003D02B3" w14:paraId="2114758E" w14:textId="77777777">
            <w:pPr>
              <w:spacing w:line="240" w:lineRule="auto"/>
              <w:jc w:val="left"/>
              <w:rPr>
                <w:rFonts w:cs="Arial"/>
                <w:b/>
                <w:bCs/>
                <w:color w:val="000000"/>
                <w:sz w:val="20"/>
                <w:szCs w:val="20"/>
                <w:lang w:eastAsia="cs-CZ"/>
              </w:rPr>
            </w:pPr>
          </w:p>
        </w:tc>
        <w:tc>
          <w:tcPr>
            <w:tcW w:w="7943" w:type="dxa"/>
            <w:gridSpan w:val="4"/>
            <w:tcBorders>
              <w:top w:val="single" w:sz="4" w:space="0" w:color="auto"/>
              <w:left w:val="nil"/>
              <w:bottom w:val="single" w:sz="4" w:space="0" w:color="auto"/>
              <w:right w:val="single" w:sz="4" w:space="0" w:color="auto"/>
            </w:tcBorders>
            <w:shd w:val="clear" w:color="auto" w:fill="auto"/>
            <w:vAlign w:val="center"/>
            <w:hideMark/>
          </w:tcPr>
          <w:p w:rsidR="00A75EC7" w:rsidRPr="0087335F" w:rsidP="00C51652" w14:paraId="28EE87D4" w14:textId="77777777">
            <w:pPr>
              <w:spacing w:line="240" w:lineRule="auto"/>
              <w:jc w:val="center"/>
              <w:rPr>
                <w:rFonts w:cs="Arial"/>
                <w:b/>
                <w:bCs/>
                <w:color w:val="000000"/>
                <w:sz w:val="20"/>
                <w:szCs w:val="20"/>
                <w:lang w:eastAsia="cs-CZ"/>
              </w:rPr>
            </w:pPr>
            <w:r w:rsidRPr="0087335F">
              <w:rPr>
                <w:rFonts w:cs="Arial"/>
                <w:b/>
                <w:bCs/>
                <w:color w:val="000000"/>
                <w:sz w:val="20"/>
                <w:szCs w:val="20"/>
                <w:lang w:eastAsia="cs-CZ"/>
              </w:rPr>
              <w:t>Podnikatelské prostředí</w:t>
            </w:r>
          </w:p>
        </w:tc>
      </w:tr>
      <w:tr w14:paraId="6E6657A5" w14:textId="77777777" w:rsidTr="00613DE6">
        <w:tblPrEx>
          <w:tblW w:w="9062" w:type="dxa"/>
          <w:tblCellMar>
            <w:left w:w="70" w:type="dxa"/>
            <w:right w:w="70" w:type="dxa"/>
          </w:tblCellMar>
          <w:tblLook w:val="04A0"/>
        </w:tblPrEx>
        <w:trPr>
          <w:trHeight w:val="506"/>
        </w:trPr>
        <w:tc>
          <w:tcPr>
            <w:tcW w:w="1119" w:type="dxa"/>
            <w:vMerge/>
            <w:tcBorders>
              <w:left w:val="single" w:sz="4" w:space="0" w:color="auto"/>
              <w:right w:val="single" w:sz="4" w:space="0" w:color="auto"/>
            </w:tcBorders>
            <w:vAlign w:val="center"/>
          </w:tcPr>
          <w:p w:rsidR="00A75EC7" w:rsidRPr="0087335F" w:rsidP="003D02B3" w14:paraId="0BCAB646" w14:textId="77777777">
            <w:pPr>
              <w:spacing w:line="240" w:lineRule="auto"/>
              <w:jc w:val="left"/>
              <w:rPr>
                <w:rFonts w:cs="Arial"/>
                <w:b/>
                <w:bCs/>
                <w:color w:val="000000"/>
                <w:sz w:val="20"/>
                <w:szCs w:val="20"/>
                <w:lang w:eastAsia="cs-CZ"/>
              </w:rPr>
            </w:pPr>
          </w:p>
        </w:tc>
        <w:tc>
          <w:tcPr>
            <w:tcW w:w="2845" w:type="dxa"/>
            <w:tcBorders>
              <w:top w:val="nil"/>
              <w:left w:val="nil"/>
              <w:bottom w:val="single" w:sz="4" w:space="0" w:color="auto"/>
              <w:right w:val="single" w:sz="4" w:space="0" w:color="auto"/>
            </w:tcBorders>
            <w:shd w:val="clear" w:color="auto" w:fill="auto"/>
            <w:vAlign w:val="center"/>
          </w:tcPr>
          <w:p w:rsidR="00A75EC7" w:rsidRPr="00322CCA" w:rsidP="00C51652" w14:paraId="7ABF57BE" w14:textId="2B626A46">
            <w:pPr>
              <w:spacing w:line="240" w:lineRule="auto"/>
              <w:jc w:val="center"/>
              <w:rPr>
                <w:rFonts w:cs="Arial"/>
                <w:color w:val="000000"/>
                <w:sz w:val="20"/>
                <w:szCs w:val="20"/>
                <w:lang w:eastAsia="cs-CZ"/>
              </w:rPr>
            </w:pPr>
            <w:r>
              <w:rPr>
                <w:rFonts w:cs="Arial"/>
                <w:color w:val="000000"/>
                <w:sz w:val="20"/>
                <w:szCs w:val="20"/>
                <w:lang w:eastAsia="cs-CZ"/>
              </w:rPr>
              <w:t xml:space="preserve">Vytvoření jednotných podmínek a </w:t>
            </w:r>
            <w:r w:rsidR="0097633A">
              <w:rPr>
                <w:rFonts w:cs="Arial"/>
                <w:color w:val="000000"/>
                <w:sz w:val="20"/>
                <w:szCs w:val="20"/>
                <w:lang w:eastAsia="cs-CZ"/>
              </w:rPr>
              <w:t>spravedlivá alokace nákladů</w:t>
            </w:r>
            <w:r>
              <w:rPr>
                <w:rFonts w:cs="Arial"/>
                <w:color w:val="000000"/>
                <w:sz w:val="20"/>
                <w:szCs w:val="20"/>
                <w:lang w:eastAsia="cs-CZ"/>
              </w:rPr>
              <w:t xml:space="preserve"> </w:t>
            </w:r>
            <w:r w:rsidR="0097633A">
              <w:rPr>
                <w:rFonts w:cs="Arial"/>
                <w:color w:val="000000"/>
                <w:sz w:val="20"/>
                <w:szCs w:val="20"/>
                <w:lang w:eastAsia="cs-CZ"/>
              </w:rPr>
              <w:t xml:space="preserve">na pořádání informačních kampaní </w:t>
            </w:r>
            <w:r>
              <w:rPr>
                <w:rFonts w:cs="Arial"/>
                <w:color w:val="000000"/>
                <w:sz w:val="20"/>
                <w:szCs w:val="20"/>
                <w:lang w:eastAsia="cs-CZ"/>
              </w:rPr>
              <w:t xml:space="preserve">pro všechny výrobce </w:t>
            </w:r>
            <w:r w:rsidR="00C10EB0">
              <w:rPr>
                <w:rFonts w:cs="Arial"/>
                <w:color w:val="000000"/>
                <w:sz w:val="20"/>
                <w:szCs w:val="20"/>
                <w:lang w:eastAsia="cs-CZ"/>
              </w:rPr>
              <w:t xml:space="preserve">jednorázových </w:t>
            </w:r>
            <w:r>
              <w:rPr>
                <w:rFonts w:cs="Arial"/>
                <w:color w:val="000000"/>
                <w:sz w:val="20"/>
                <w:szCs w:val="20"/>
                <w:lang w:eastAsia="cs-CZ"/>
              </w:rPr>
              <w:t xml:space="preserve">plastových </w:t>
            </w:r>
            <w:r w:rsidR="00C10EB0">
              <w:rPr>
                <w:rFonts w:cs="Arial"/>
                <w:color w:val="000000"/>
                <w:sz w:val="20"/>
                <w:szCs w:val="20"/>
                <w:lang w:eastAsia="cs-CZ"/>
              </w:rPr>
              <w:t>obalů</w:t>
            </w:r>
            <w:r>
              <w:rPr>
                <w:rFonts w:cs="Arial"/>
                <w:color w:val="000000"/>
                <w:sz w:val="20"/>
                <w:szCs w:val="20"/>
                <w:lang w:eastAsia="cs-CZ"/>
              </w:rPr>
              <w:t xml:space="preserve"> </w:t>
            </w:r>
            <w:r w:rsidR="00C10EB0">
              <w:rPr>
                <w:rFonts w:cs="Arial"/>
                <w:color w:val="000000"/>
                <w:sz w:val="20"/>
                <w:szCs w:val="20"/>
                <w:lang w:eastAsia="cs-CZ"/>
              </w:rPr>
              <w:t>a AOS</w:t>
            </w:r>
          </w:p>
        </w:tc>
        <w:tc>
          <w:tcPr>
            <w:tcW w:w="1265" w:type="dxa"/>
            <w:tcBorders>
              <w:top w:val="nil"/>
              <w:left w:val="nil"/>
              <w:bottom w:val="single" w:sz="4" w:space="0" w:color="auto"/>
              <w:right w:val="single" w:sz="4" w:space="0" w:color="auto"/>
            </w:tcBorders>
            <w:shd w:val="clear" w:color="auto" w:fill="auto"/>
            <w:vAlign w:val="center"/>
          </w:tcPr>
          <w:p w:rsidR="00A75EC7" w:rsidP="00C51652" w14:paraId="19961CB2" w14:textId="77777777">
            <w:pPr>
              <w:spacing w:line="240" w:lineRule="auto"/>
              <w:jc w:val="center"/>
              <w:rPr>
                <w:rFonts w:cs="Arial"/>
                <w:bCs/>
                <w:color w:val="000000"/>
                <w:sz w:val="20"/>
                <w:szCs w:val="20"/>
                <w:lang w:eastAsia="cs-CZ"/>
              </w:rPr>
            </w:pPr>
            <w:r>
              <w:rPr>
                <w:rFonts w:cs="Arial"/>
                <w:bCs/>
                <w:color w:val="000000"/>
                <w:sz w:val="20"/>
                <w:szCs w:val="20"/>
                <w:lang w:eastAsia="cs-CZ"/>
              </w:rPr>
              <w:t>****</w:t>
            </w:r>
          </w:p>
        </w:tc>
        <w:tc>
          <w:tcPr>
            <w:tcW w:w="2563" w:type="dxa"/>
            <w:tcBorders>
              <w:top w:val="nil"/>
              <w:left w:val="nil"/>
              <w:bottom w:val="single" w:sz="4" w:space="0" w:color="auto"/>
              <w:right w:val="single" w:sz="4" w:space="0" w:color="auto"/>
            </w:tcBorders>
            <w:shd w:val="clear" w:color="auto" w:fill="auto"/>
            <w:vAlign w:val="center"/>
          </w:tcPr>
          <w:p w:rsidR="00A75EC7" w:rsidRPr="00831992" w:rsidP="00C51652" w14:paraId="2ED79821" w14:textId="06498B9B">
            <w:pPr>
              <w:spacing w:line="240" w:lineRule="auto"/>
              <w:jc w:val="center"/>
              <w:rPr>
                <w:rFonts w:cs="Arial"/>
                <w:color w:val="000000"/>
                <w:sz w:val="20"/>
                <w:szCs w:val="20"/>
                <w:lang w:eastAsia="cs-CZ"/>
              </w:rPr>
            </w:pPr>
            <w:r>
              <w:rPr>
                <w:rFonts w:cs="Arial"/>
                <w:color w:val="000000"/>
                <w:sz w:val="20"/>
                <w:szCs w:val="20"/>
                <w:lang w:eastAsia="cs-CZ"/>
              </w:rPr>
              <w:t xml:space="preserve">Zvýšení nákladů pro výrobce </w:t>
            </w:r>
            <w:r w:rsidR="00C10EB0">
              <w:rPr>
                <w:rFonts w:cs="Arial"/>
                <w:color w:val="000000"/>
                <w:sz w:val="20"/>
                <w:szCs w:val="20"/>
                <w:lang w:eastAsia="cs-CZ"/>
              </w:rPr>
              <w:t xml:space="preserve">jednorázových </w:t>
            </w:r>
            <w:r>
              <w:rPr>
                <w:rFonts w:cs="Arial"/>
                <w:color w:val="000000"/>
                <w:sz w:val="20"/>
                <w:szCs w:val="20"/>
                <w:lang w:eastAsia="cs-CZ"/>
              </w:rPr>
              <w:t xml:space="preserve">plastových </w:t>
            </w:r>
            <w:r w:rsidR="00C10EB0">
              <w:rPr>
                <w:rFonts w:cs="Arial"/>
                <w:color w:val="000000"/>
                <w:sz w:val="20"/>
                <w:szCs w:val="20"/>
                <w:lang w:eastAsia="cs-CZ"/>
              </w:rPr>
              <w:t>obalů</w:t>
            </w:r>
            <w:r>
              <w:rPr>
                <w:rFonts w:cs="Arial"/>
                <w:color w:val="000000"/>
                <w:sz w:val="20"/>
                <w:szCs w:val="20"/>
                <w:lang w:eastAsia="cs-CZ"/>
              </w:rPr>
              <w:t xml:space="preserve"> </w:t>
            </w:r>
            <w:r w:rsidR="00C10EB0">
              <w:rPr>
                <w:rFonts w:cs="Arial"/>
                <w:color w:val="000000"/>
                <w:sz w:val="20"/>
                <w:szCs w:val="20"/>
                <w:lang w:eastAsia="cs-CZ"/>
              </w:rPr>
              <w:t xml:space="preserve">plnící individuálně </w:t>
            </w:r>
            <w:r>
              <w:rPr>
                <w:rFonts w:cs="Arial"/>
                <w:color w:val="000000"/>
                <w:sz w:val="20"/>
                <w:szCs w:val="20"/>
                <w:lang w:eastAsia="cs-CZ"/>
              </w:rPr>
              <w:t>na pořádání informačních kampaní dle stanovených požadavků</w:t>
            </w:r>
          </w:p>
        </w:tc>
        <w:tc>
          <w:tcPr>
            <w:tcW w:w="1270" w:type="dxa"/>
            <w:tcBorders>
              <w:top w:val="nil"/>
              <w:left w:val="nil"/>
              <w:bottom w:val="single" w:sz="4" w:space="0" w:color="auto"/>
              <w:right w:val="single" w:sz="4" w:space="0" w:color="auto"/>
            </w:tcBorders>
            <w:shd w:val="clear" w:color="auto" w:fill="auto"/>
            <w:vAlign w:val="center"/>
          </w:tcPr>
          <w:p w:rsidR="00A75EC7" w:rsidRPr="00B6596A" w:rsidP="00C51652" w14:paraId="1FF3FE0F" w14:textId="0AC47FAA">
            <w:pPr>
              <w:spacing w:line="240" w:lineRule="auto"/>
              <w:jc w:val="center"/>
              <w:rPr>
                <w:rFonts w:cs="Arial"/>
                <w:bCs/>
                <w:color w:val="000000"/>
                <w:sz w:val="20"/>
                <w:szCs w:val="20"/>
                <w:lang w:eastAsia="cs-CZ"/>
              </w:rPr>
            </w:pPr>
            <w:r>
              <w:rPr>
                <w:rFonts w:cs="Arial"/>
                <w:bCs/>
                <w:color w:val="000000"/>
                <w:sz w:val="20"/>
                <w:szCs w:val="20"/>
                <w:lang w:eastAsia="cs-CZ"/>
              </w:rPr>
              <w:t>***</w:t>
            </w:r>
          </w:p>
        </w:tc>
      </w:tr>
      <w:tr w14:paraId="72F5508C" w14:textId="77777777" w:rsidTr="00613DE6">
        <w:tblPrEx>
          <w:tblW w:w="9062" w:type="dxa"/>
          <w:tblCellMar>
            <w:left w:w="70" w:type="dxa"/>
            <w:right w:w="70" w:type="dxa"/>
          </w:tblCellMar>
          <w:tblLook w:val="04A0"/>
        </w:tblPrEx>
        <w:trPr>
          <w:trHeight w:val="506"/>
        </w:trPr>
        <w:tc>
          <w:tcPr>
            <w:tcW w:w="1119" w:type="dxa"/>
            <w:vMerge/>
            <w:tcBorders>
              <w:left w:val="single" w:sz="4" w:space="0" w:color="auto"/>
              <w:right w:val="single" w:sz="4" w:space="0" w:color="auto"/>
            </w:tcBorders>
            <w:vAlign w:val="center"/>
          </w:tcPr>
          <w:p w:rsidR="00A52FE0" w:rsidRPr="0087335F" w:rsidP="003D02B3" w14:paraId="2EEFBEAE" w14:textId="77777777">
            <w:pPr>
              <w:spacing w:line="240" w:lineRule="auto"/>
              <w:jc w:val="left"/>
              <w:rPr>
                <w:rFonts w:cs="Arial"/>
                <w:b/>
                <w:bCs/>
                <w:color w:val="000000"/>
                <w:sz w:val="20"/>
                <w:szCs w:val="20"/>
                <w:lang w:eastAsia="cs-CZ"/>
              </w:rPr>
            </w:pPr>
          </w:p>
        </w:tc>
        <w:tc>
          <w:tcPr>
            <w:tcW w:w="2845" w:type="dxa"/>
            <w:tcBorders>
              <w:top w:val="nil"/>
              <w:left w:val="nil"/>
              <w:bottom w:val="single" w:sz="4" w:space="0" w:color="auto"/>
              <w:right w:val="single" w:sz="4" w:space="0" w:color="auto"/>
            </w:tcBorders>
            <w:shd w:val="clear" w:color="auto" w:fill="auto"/>
            <w:vAlign w:val="center"/>
          </w:tcPr>
          <w:p w:rsidR="00A52FE0" w:rsidP="00C51652" w14:paraId="3E72F00E" w14:textId="77777777">
            <w:pPr>
              <w:spacing w:line="240" w:lineRule="auto"/>
              <w:jc w:val="center"/>
              <w:rPr>
                <w:rFonts w:cs="Arial"/>
                <w:color w:val="000000"/>
                <w:sz w:val="20"/>
                <w:szCs w:val="20"/>
                <w:lang w:eastAsia="cs-CZ"/>
              </w:rPr>
            </w:pPr>
          </w:p>
        </w:tc>
        <w:tc>
          <w:tcPr>
            <w:tcW w:w="1265" w:type="dxa"/>
            <w:tcBorders>
              <w:top w:val="nil"/>
              <w:left w:val="nil"/>
              <w:bottom w:val="single" w:sz="4" w:space="0" w:color="auto"/>
              <w:right w:val="single" w:sz="4" w:space="0" w:color="auto"/>
            </w:tcBorders>
            <w:shd w:val="clear" w:color="auto" w:fill="auto"/>
            <w:vAlign w:val="center"/>
          </w:tcPr>
          <w:p w:rsidR="00A52FE0" w:rsidP="00C51652" w14:paraId="5A701091" w14:textId="77777777">
            <w:pPr>
              <w:spacing w:line="240" w:lineRule="auto"/>
              <w:jc w:val="center"/>
              <w:rPr>
                <w:rFonts w:cs="Arial"/>
                <w:bCs/>
                <w:color w:val="000000"/>
                <w:sz w:val="20"/>
                <w:szCs w:val="20"/>
                <w:lang w:eastAsia="cs-CZ"/>
              </w:rPr>
            </w:pPr>
          </w:p>
        </w:tc>
        <w:tc>
          <w:tcPr>
            <w:tcW w:w="2563" w:type="dxa"/>
            <w:tcBorders>
              <w:top w:val="nil"/>
              <w:left w:val="nil"/>
              <w:bottom w:val="single" w:sz="4" w:space="0" w:color="auto"/>
              <w:right w:val="single" w:sz="4" w:space="0" w:color="auto"/>
            </w:tcBorders>
            <w:shd w:val="clear" w:color="auto" w:fill="auto"/>
            <w:vAlign w:val="center"/>
          </w:tcPr>
          <w:p w:rsidR="00A52FE0" w:rsidP="00C51652" w14:paraId="18386F75" w14:textId="54BBEC39">
            <w:pPr>
              <w:spacing w:line="240" w:lineRule="auto"/>
              <w:jc w:val="center"/>
              <w:rPr>
                <w:rFonts w:cs="Arial"/>
                <w:color w:val="000000"/>
                <w:sz w:val="20"/>
                <w:szCs w:val="20"/>
                <w:lang w:eastAsia="cs-CZ"/>
              </w:rPr>
            </w:pPr>
            <w:r>
              <w:rPr>
                <w:rFonts w:cs="Arial"/>
                <w:color w:val="000000"/>
                <w:sz w:val="20"/>
                <w:szCs w:val="20"/>
                <w:lang w:eastAsia="cs-CZ"/>
              </w:rPr>
              <w:t>AOS – náklady na pořádání informačních kampaní dle stanovených požadavků</w:t>
            </w:r>
          </w:p>
        </w:tc>
        <w:tc>
          <w:tcPr>
            <w:tcW w:w="1270" w:type="dxa"/>
            <w:tcBorders>
              <w:top w:val="nil"/>
              <w:left w:val="nil"/>
              <w:bottom w:val="single" w:sz="4" w:space="0" w:color="auto"/>
              <w:right w:val="single" w:sz="4" w:space="0" w:color="auto"/>
            </w:tcBorders>
            <w:shd w:val="clear" w:color="auto" w:fill="auto"/>
            <w:vAlign w:val="center"/>
          </w:tcPr>
          <w:p w:rsidR="00A52FE0" w:rsidP="00C51652" w14:paraId="48189ABE" w14:textId="486222CB">
            <w:pPr>
              <w:spacing w:line="240" w:lineRule="auto"/>
              <w:jc w:val="center"/>
              <w:rPr>
                <w:rFonts w:cs="Arial"/>
                <w:bCs/>
                <w:color w:val="000000"/>
                <w:sz w:val="20"/>
                <w:szCs w:val="20"/>
                <w:lang w:eastAsia="cs-CZ"/>
              </w:rPr>
            </w:pPr>
            <w:r>
              <w:rPr>
                <w:rFonts w:cs="Arial"/>
                <w:bCs/>
                <w:color w:val="000000"/>
                <w:sz w:val="20"/>
                <w:szCs w:val="20"/>
                <w:lang w:eastAsia="cs-CZ"/>
              </w:rPr>
              <w:t>-</w:t>
            </w:r>
          </w:p>
        </w:tc>
      </w:tr>
      <w:tr w14:paraId="2A34F35D" w14:textId="77777777" w:rsidTr="00613DE6">
        <w:tblPrEx>
          <w:tblW w:w="9062" w:type="dxa"/>
          <w:tblCellMar>
            <w:left w:w="70" w:type="dxa"/>
            <w:right w:w="70" w:type="dxa"/>
          </w:tblCellMar>
          <w:tblLook w:val="04A0"/>
        </w:tblPrEx>
        <w:trPr>
          <w:trHeight w:val="499"/>
        </w:trPr>
        <w:tc>
          <w:tcPr>
            <w:tcW w:w="1119" w:type="dxa"/>
            <w:vMerge/>
            <w:tcBorders>
              <w:left w:val="single" w:sz="4" w:space="0" w:color="auto"/>
              <w:right w:val="single" w:sz="4" w:space="0" w:color="auto"/>
            </w:tcBorders>
            <w:vAlign w:val="center"/>
            <w:hideMark/>
          </w:tcPr>
          <w:p w:rsidR="00A75EC7" w:rsidRPr="0087335F" w:rsidP="003D02B3" w14:paraId="673D38BE" w14:textId="77777777">
            <w:pPr>
              <w:spacing w:line="240" w:lineRule="auto"/>
              <w:jc w:val="left"/>
              <w:rPr>
                <w:rFonts w:cs="Arial"/>
                <w:b/>
                <w:bCs/>
                <w:color w:val="000000"/>
                <w:sz w:val="20"/>
                <w:szCs w:val="20"/>
                <w:lang w:eastAsia="cs-CZ"/>
              </w:rPr>
            </w:pPr>
          </w:p>
        </w:tc>
        <w:tc>
          <w:tcPr>
            <w:tcW w:w="7943" w:type="dxa"/>
            <w:gridSpan w:val="4"/>
            <w:tcBorders>
              <w:top w:val="single" w:sz="4" w:space="0" w:color="auto"/>
              <w:left w:val="nil"/>
              <w:bottom w:val="single" w:sz="4" w:space="0" w:color="auto"/>
              <w:right w:val="single" w:sz="4" w:space="0" w:color="auto"/>
            </w:tcBorders>
            <w:shd w:val="clear" w:color="auto" w:fill="auto"/>
            <w:vAlign w:val="center"/>
            <w:hideMark/>
          </w:tcPr>
          <w:p w:rsidR="00A75EC7" w:rsidRPr="0087335F" w:rsidP="00C51652" w14:paraId="32B6CF21" w14:textId="77777777">
            <w:pPr>
              <w:spacing w:line="240" w:lineRule="auto"/>
              <w:jc w:val="center"/>
              <w:rPr>
                <w:rFonts w:cs="Arial"/>
                <w:b/>
                <w:bCs/>
                <w:color w:val="000000"/>
                <w:sz w:val="20"/>
                <w:szCs w:val="20"/>
                <w:lang w:eastAsia="cs-CZ"/>
              </w:rPr>
            </w:pPr>
            <w:r>
              <w:rPr>
                <w:rFonts w:cs="Arial"/>
                <w:b/>
                <w:bCs/>
                <w:color w:val="000000"/>
                <w:sz w:val="20"/>
                <w:szCs w:val="20"/>
                <w:lang w:eastAsia="cs-CZ"/>
              </w:rPr>
              <w:t>Dopady na spotřebitele</w:t>
            </w:r>
          </w:p>
        </w:tc>
      </w:tr>
      <w:tr w14:paraId="0D0FBD36" w14:textId="77777777" w:rsidTr="00613DE6">
        <w:tblPrEx>
          <w:tblW w:w="9062" w:type="dxa"/>
          <w:tblCellMar>
            <w:left w:w="70" w:type="dxa"/>
            <w:right w:w="70" w:type="dxa"/>
          </w:tblCellMar>
          <w:tblLook w:val="04A0"/>
        </w:tblPrEx>
        <w:trPr>
          <w:trHeight w:val="502"/>
        </w:trPr>
        <w:tc>
          <w:tcPr>
            <w:tcW w:w="1119" w:type="dxa"/>
            <w:vMerge/>
            <w:tcBorders>
              <w:left w:val="single" w:sz="4" w:space="0" w:color="auto"/>
              <w:right w:val="single" w:sz="4" w:space="0" w:color="auto"/>
            </w:tcBorders>
            <w:vAlign w:val="center"/>
            <w:hideMark/>
          </w:tcPr>
          <w:p w:rsidR="00A75EC7" w:rsidRPr="0087335F" w:rsidP="003D02B3" w14:paraId="4C691079" w14:textId="77777777">
            <w:pPr>
              <w:spacing w:line="240" w:lineRule="auto"/>
              <w:jc w:val="left"/>
              <w:rPr>
                <w:rFonts w:cs="Arial"/>
                <w:b/>
                <w:bCs/>
                <w:color w:val="000000"/>
                <w:sz w:val="20"/>
                <w:szCs w:val="20"/>
                <w:lang w:eastAsia="cs-CZ"/>
              </w:rPr>
            </w:pPr>
          </w:p>
        </w:tc>
        <w:tc>
          <w:tcPr>
            <w:tcW w:w="2845" w:type="dxa"/>
            <w:tcBorders>
              <w:top w:val="nil"/>
              <w:left w:val="nil"/>
              <w:bottom w:val="single" w:sz="4" w:space="0" w:color="auto"/>
              <w:right w:val="single" w:sz="4" w:space="0" w:color="auto"/>
            </w:tcBorders>
            <w:shd w:val="clear" w:color="auto" w:fill="auto"/>
            <w:vAlign w:val="center"/>
          </w:tcPr>
          <w:p w:rsidR="00A75EC7" w:rsidRPr="00A11224" w:rsidP="00C51652" w14:paraId="75A9DC0D" w14:textId="21F3913A">
            <w:pPr>
              <w:spacing w:line="240" w:lineRule="auto"/>
              <w:jc w:val="center"/>
              <w:rPr>
                <w:rFonts w:cs="Arial"/>
                <w:color w:val="000000"/>
                <w:sz w:val="20"/>
                <w:szCs w:val="20"/>
                <w:lang w:eastAsia="cs-CZ"/>
              </w:rPr>
            </w:pPr>
            <w:r>
              <w:rPr>
                <w:rFonts w:cs="Arial"/>
                <w:bCs/>
                <w:color w:val="000000"/>
                <w:sz w:val="20"/>
                <w:szCs w:val="20"/>
                <w:lang w:eastAsia="cs-CZ"/>
              </w:rPr>
              <w:t>Vyšší informovanost konečných uživatelů o negativních důsledcích nevhodného nakládání s</w:t>
            </w:r>
            <w:r w:rsidR="00A52FE0">
              <w:rPr>
                <w:rFonts w:cs="Arial"/>
                <w:bCs/>
                <w:color w:val="000000"/>
                <w:sz w:val="20"/>
                <w:szCs w:val="20"/>
                <w:lang w:eastAsia="cs-CZ"/>
              </w:rPr>
              <w:t xml:space="preserve"> jednorázovými </w:t>
            </w:r>
            <w:r>
              <w:rPr>
                <w:rFonts w:cs="Arial"/>
                <w:bCs/>
                <w:color w:val="000000"/>
                <w:sz w:val="20"/>
                <w:szCs w:val="20"/>
                <w:lang w:eastAsia="cs-CZ"/>
              </w:rPr>
              <w:t xml:space="preserve">plastovými </w:t>
            </w:r>
            <w:r w:rsidR="00A52FE0">
              <w:rPr>
                <w:rFonts w:cs="Arial"/>
                <w:bCs/>
                <w:color w:val="000000"/>
                <w:sz w:val="20"/>
                <w:szCs w:val="20"/>
                <w:lang w:eastAsia="cs-CZ"/>
              </w:rPr>
              <w:t>obaly</w:t>
            </w:r>
          </w:p>
        </w:tc>
        <w:tc>
          <w:tcPr>
            <w:tcW w:w="1265" w:type="dxa"/>
            <w:tcBorders>
              <w:top w:val="nil"/>
              <w:left w:val="nil"/>
              <w:bottom w:val="single" w:sz="4" w:space="0" w:color="auto"/>
              <w:right w:val="single" w:sz="4" w:space="0" w:color="auto"/>
            </w:tcBorders>
            <w:shd w:val="clear" w:color="auto" w:fill="auto"/>
            <w:vAlign w:val="center"/>
          </w:tcPr>
          <w:p w:rsidR="00A75EC7" w:rsidRPr="00BB7B00" w:rsidP="00C51652" w14:paraId="106BE6B9" w14:textId="77777777">
            <w:pPr>
              <w:spacing w:line="240" w:lineRule="auto"/>
              <w:jc w:val="center"/>
              <w:rPr>
                <w:rFonts w:cs="Arial"/>
                <w:bCs/>
                <w:color w:val="000000"/>
                <w:sz w:val="20"/>
                <w:szCs w:val="20"/>
                <w:lang w:eastAsia="cs-CZ"/>
              </w:rPr>
            </w:pPr>
            <w:r>
              <w:rPr>
                <w:rFonts w:cs="Arial"/>
                <w:bCs/>
                <w:color w:val="000000"/>
                <w:sz w:val="20"/>
                <w:szCs w:val="20"/>
                <w:lang w:eastAsia="cs-CZ"/>
              </w:rPr>
              <w:t>***</w:t>
            </w:r>
          </w:p>
        </w:tc>
        <w:tc>
          <w:tcPr>
            <w:tcW w:w="2563" w:type="dxa"/>
            <w:tcBorders>
              <w:top w:val="nil"/>
              <w:left w:val="nil"/>
              <w:bottom w:val="single" w:sz="4" w:space="0" w:color="auto"/>
              <w:right w:val="single" w:sz="4" w:space="0" w:color="auto"/>
            </w:tcBorders>
            <w:shd w:val="clear" w:color="auto" w:fill="auto"/>
            <w:vAlign w:val="center"/>
          </w:tcPr>
          <w:p w:rsidR="00A75EC7" w:rsidRPr="00365547" w:rsidP="00C51652" w14:paraId="167EEE66" w14:textId="77777777">
            <w:pPr>
              <w:spacing w:line="240" w:lineRule="auto"/>
              <w:jc w:val="center"/>
              <w:rPr>
                <w:rFonts w:cs="Arial"/>
                <w:b/>
                <w:bCs/>
                <w:color w:val="000000"/>
                <w:sz w:val="20"/>
                <w:szCs w:val="20"/>
                <w:lang w:eastAsia="cs-CZ"/>
              </w:rPr>
            </w:pPr>
          </w:p>
        </w:tc>
        <w:tc>
          <w:tcPr>
            <w:tcW w:w="1270" w:type="dxa"/>
            <w:tcBorders>
              <w:top w:val="nil"/>
              <w:left w:val="nil"/>
              <w:bottom w:val="single" w:sz="4" w:space="0" w:color="auto"/>
              <w:right w:val="single" w:sz="4" w:space="0" w:color="auto"/>
            </w:tcBorders>
            <w:shd w:val="clear" w:color="auto" w:fill="auto"/>
            <w:vAlign w:val="center"/>
          </w:tcPr>
          <w:p w:rsidR="00A75EC7" w:rsidRPr="00365547" w:rsidP="00C51652" w14:paraId="1E8C7275" w14:textId="77777777">
            <w:pPr>
              <w:spacing w:line="240" w:lineRule="auto"/>
              <w:jc w:val="center"/>
              <w:rPr>
                <w:rFonts w:cs="Arial"/>
                <w:b/>
                <w:bCs/>
                <w:color w:val="000000"/>
                <w:sz w:val="20"/>
                <w:szCs w:val="20"/>
                <w:lang w:eastAsia="cs-CZ"/>
              </w:rPr>
            </w:pPr>
          </w:p>
        </w:tc>
      </w:tr>
      <w:tr w14:paraId="6171B05C" w14:textId="77777777" w:rsidTr="00613DE6">
        <w:tblPrEx>
          <w:tblW w:w="9062" w:type="dxa"/>
          <w:tblCellMar>
            <w:left w:w="70" w:type="dxa"/>
            <w:right w:w="70" w:type="dxa"/>
          </w:tblCellMar>
          <w:tblLook w:val="04A0"/>
        </w:tblPrEx>
        <w:trPr>
          <w:trHeight w:val="502"/>
        </w:trPr>
        <w:tc>
          <w:tcPr>
            <w:tcW w:w="1119" w:type="dxa"/>
            <w:vMerge/>
            <w:tcBorders>
              <w:left w:val="single" w:sz="4" w:space="0" w:color="auto"/>
              <w:right w:val="single" w:sz="4" w:space="0" w:color="auto"/>
            </w:tcBorders>
            <w:vAlign w:val="center"/>
          </w:tcPr>
          <w:p w:rsidR="00A75EC7" w:rsidRPr="0087335F" w:rsidP="003D02B3" w14:paraId="2FDA77C4" w14:textId="77777777">
            <w:pPr>
              <w:spacing w:line="240" w:lineRule="auto"/>
              <w:jc w:val="left"/>
              <w:rPr>
                <w:rFonts w:cs="Arial"/>
                <w:b/>
                <w:bCs/>
                <w:color w:val="000000"/>
                <w:sz w:val="20"/>
                <w:szCs w:val="20"/>
                <w:lang w:eastAsia="cs-CZ"/>
              </w:rPr>
            </w:pPr>
          </w:p>
        </w:tc>
        <w:tc>
          <w:tcPr>
            <w:tcW w:w="7943" w:type="dxa"/>
            <w:gridSpan w:val="4"/>
            <w:tcBorders>
              <w:top w:val="nil"/>
              <w:left w:val="nil"/>
              <w:bottom w:val="single" w:sz="4" w:space="0" w:color="auto"/>
              <w:right w:val="single" w:sz="4" w:space="0" w:color="auto"/>
            </w:tcBorders>
            <w:shd w:val="clear" w:color="auto" w:fill="auto"/>
            <w:vAlign w:val="center"/>
          </w:tcPr>
          <w:p w:rsidR="00A75EC7" w:rsidRPr="00365547" w:rsidP="00C51652" w14:paraId="6B31680D" w14:textId="77777777">
            <w:pPr>
              <w:spacing w:line="240" w:lineRule="auto"/>
              <w:jc w:val="center"/>
              <w:rPr>
                <w:rFonts w:cs="Arial"/>
                <w:b/>
                <w:bCs/>
                <w:color w:val="000000"/>
                <w:sz w:val="20"/>
                <w:szCs w:val="20"/>
                <w:lang w:eastAsia="cs-CZ"/>
              </w:rPr>
            </w:pPr>
            <w:r w:rsidRPr="0087335F">
              <w:rPr>
                <w:rFonts w:cs="Arial"/>
                <w:b/>
                <w:bCs/>
                <w:color w:val="000000"/>
                <w:sz w:val="20"/>
                <w:szCs w:val="20"/>
                <w:lang w:eastAsia="cs-CZ"/>
              </w:rPr>
              <w:t>Územní samosprávné celky (obce, kraje)</w:t>
            </w:r>
          </w:p>
        </w:tc>
      </w:tr>
      <w:tr w14:paraId="574E896C" w14:textId="77777777" w:rsidTr="00613DE6">
        <w:tblPrEx>
          <w:tblW w:w="9062" w:type="dxa"/>
          <w:tblCellMar>
            <w:left w:w="70" w:type="dxa"/>
            <w:right w:w="70" w:type="dxa"/>
          </w:tblCellMar>
          <w:tblLook w:val="04A0"/>
        </w:tblPrEx>
        <w:trPr>
          <w:trHeight w:val="502"/>
        </w:trPr>
        <w:tc>
          <w:tcPr>
            <w:tcW w:w="1119" w:type="dxa"/>
            <w:vMerge/>
            <w:tcBorders>
              <w:left w:val="single" w:sz="4" w:space="0" w:color="auto"/>
              <w:right w:val="single" w:sz="4" w:space="0" w:color="auto"/>
            </w:tcBorders>
            <w:vAlign w:val="center"/>
          </w:tcPr>
          <w:p w:rsidR="00A75EC7" w:rsidRPr="0087335F" w:rsidP="003D02B3" w14:paraId="61879A27" w14:textId="77777777">
            <w:pPr>
              <w:spacing w:line="240" w:lineRule="auto"/>
              <w:jc w:val="left"/>
              <w:rPr>
                <w:rFonts w:cs="Arial"/>
                <w:b/>
                <w:bCs/>
                <w:color w:val="000000"/>
                <w:sz w:val="20"/>
                <w:szCs w:val="20"/>
                <w:lang w:eastAsia="cs-CZ"/>
              </w:rPr>
            </w:pPr>
          </w:p>
        </w:tc>
        <w:tc>
          <w:tcPr>
            <w:tcW w:w="2845" w:type="dxa"/>
            <w:tcBorders>
              <w:top w:val="nil"/>
              <w:left w:val="nil"/>
              <w:bottom w:val="single" w:sz="4" w:space="0" w:color="auto"/>
              <w:right w:val="single" w:sz="4" w:space="0" w:color="auto"/>
            </w:tcBorders>
            <w:shd w:val="clear" w:color="auto" w:fill="auto"/>
            <w:vAlign w:val="center"/>
          </w:tcPr>
          <w:p w:rsidR="00A75EC7" w:rsidP="00C51652" w14:paraId="2A31B71E" w14:textId="1F96E0F9">
            <w:pPr>
              <w:spacing w:line="240" w:lineRule="auto"/>
              <w:jc w:val="center"/>
              <w:rPr>
                <w:rFonts w:cs="Arial"/>
                <w:bCs/>
                <w:color w:val="000000"/>
                <w:sz w:val="20"/>
                <w:szCs w:val="20"/>
                <w:lang w:eastAsia="cs-CZ"/>
              </w:rPr>
            </w:pPr>
            <w:r>
              <w:rPr>
                <w:rFonts w:cs="Arial"/>
                <w:bCs/>
                <w:color w:val="000000"/>
                <w:sz w:val="20"/>
                <w:szCs w:val="20"/>
                <w:lang w:eastAsia="cs-CZ"/>
              </w:rPr>
              <w:t>Snížení nákladů na odstraňování litteringu</w:t>
            </w:r>
          </w:p>
        </w:tc>
        <w:tc>
          <w:tcPr>
            <w:tcW w:w="1265" w:type="dxa"/>
            <w:tcBorders>
              <w:top w:val="nil"/>
              <w:left w:val="nil"/>
              <w:bottom w:val="single" w:sz="4" w:space="0" w:color="auto"/>
              <w:right w:val="single" w:sz="4" w:space="0" w:color="auto"/>
            </w:tcBorders>
            <w:shd w:val="clear" w:color="auto" w:fill="auto"/>
            <w:vAlign w:val="center"/>
          </w:tcPr>
          <w:p w:rsidR="00A75EC7" w:rsidRPr="00BB7B00" w:rsidP="00C51652" w14:paraId="504AB16B" w14:textId="77777777">
            <w:pPr>
              <w:spacing w:line="240" w:lineRule="auto"/>
              <w:jc w:val="center"/>
              <w:rPr>
                <w:rFonts w:cs="Arial"/>
                <w:bCs/>
                <w:color w:val="000000"/>
                <w:sz w:val="20"/>
                <w:szCs w:val="20"/>
                <w:lang w:eastAsia="cs-CZ"/>
              </w:rPr>
            </w:pPr>
            <w:r>
              <w:rPr>
                <w:rFonts w:cs="Arial"/>
                <w:bCs/>
                <w:color w:val="000000"/>
                <w:sz w:val="20"/>
                <w:szCs w:val="20"/>
                <w:lang w:eastAsia="cs-CZ"/>
              </w:rPr>
              <w:t>**</w:t>
            </w:r>
          </w:p>
        </w:tc>
        <w:tc>
          <w:tcPr>
            <w:tcW w:w="2563" w:type="dxa"/>
            <w:tcBorders>
              <w:top w:val="nil"/>
              <w:left w:val="nil"/>
              <w:bottom w:val="single" w:sz="4" w:space="0" w:color="auto"/>
              <w:right w:val="single" w:sz="4" w:space="0" w:color="auto"/>
            </w:tcBorders>
            <w:shd w:val="clear" w:color="auto" w:fill="auto"/>
            <w:vAlign w:val="center"/>
          </w:tcPr>
          <w:p w:rsidR="00A75EC7" w:rsidRPr="00365547" w:rsidP="00C51652" w14:paraId="5C854690" w14:textId="77777777">
            <w:pPr>
              <w:spacing w:line="240" w:lineRule="auto"/>
              <w:jc w:val="center"/>
              <w:rPr>
                <w:rFonts w:cs="Arial"/>
                <w:b/>
                <w:bCs/>
                <w:color w:val="000000"/>
                <w:sz w:val="20"/>
                <w:szCs w:val="20"/>
                <w:lang w:eastAsia="cs-CZ"/>
              </w:rPr>
            </w:pPr>
          </w:p>
        </w:tc>
        <w:tc>
          <w:tcPr>
            <w:tcW w:w="1270" w:type="dxa"/>
            <w:tcBorders>
              <w:top w:val="nil"/>
              <w:left w:val="nil"/>
              <w:bottom w:val="single" w:sz="4" w:space="0" w:color="auto"/>
              <w:right w:val="single" w:sz="4" w:space="0" w:color="auto"/>
            </w:tcBorders>
            <w:shd w:val="clear" w:color="auto" w:fill="auto"/>
            <w:vAlign w:val="center"/>
          </w:tcPr>
          <w:p w:rsidR="00A75EC7" w:rsidRPr="00365547" w:rsidP="00C51652" w14:paraId="7FF0E357" w14:textId="77777777">
            <w:pPr>
              <w:spacing w:line="240" w:lineRule="auto"/>
              <w:jc w:val="center"/>
              <w:rPr>
                <w:rFonts w:cs="Arial"/>
                <w:b/>
                <w:bCs/>
                <w:color w:val="000000"/>
                <w:sz w:val="20"/>
                <w:szCs w:val="20"/>
                <w:lang w:eastAsia="cs-CZ"/>
              </w:rPr>
            </w:pPr>
          </w:p>
        </w:tc>
      </w:tr>
      <w:tr w14:paraId="15C952E5" w14:textId="77777777" w:rsidTr="00613DE6">
        <w:tblPrEx>
          <w:tblW w:w="9062" w:type="dxa"/>
          <w:tblCellMar>
            <w:left w:w="70" w:type="dxa"/>
            <w:right w:w="70" w:type="dxa"/>
          </w:tblCellMar>
          <w:tblLook w:val="04A0"/>
        </w:tblPrEx>
        <w:trPr>
          <w:trHeight w:val="499"/>
        </w:trPr>
        <w:tc>
          <w:tcPr>
            <w:tcW w:w="1119" w:type="dxa"/>
            <w:vMerge/>
            <w:tcBorders>
              <w:left w:val="single" w:sz="4" w:space="0" w:color="auto"/>
              <w:right w:val="single" w:sz="4" w:space="0" w:color="auto"/>
            </w:tcBorders>
            <w:vAlign w:val="center"/>
            <w:hideMark/>
          </w:tcPr>
          <w:p w:rsidR="00A75EC7" w:rsidRPr="0087335F" w:rsidP="003D02B3" w14:paraId="7AFAE825" w14:textId="77777777">
            <w:pPr>
              <w:spacing w:line="240" w:lineRule="auto"/>
              <w:jc w:val="left"/>
              <w:rPr>
                <w:rFonts w:cs="Arial"/>
                <w:b/>
                <w:bCs/>
                <w:color w:val="000000"/>
                <w:sz w:val="20"/>
                <w:szCs w:val="20"/>
                <w:lang w:eastAsia="cs-CZ"/>
              </w:rPr>
            </w:pPr>
          </w:p>
        </w:tc>
        <w:tc>
          <w:tcPr>
            <w:tcW w:w="7943" w:type="dxa"/>
            <w:gridSpan w:val="4"/>
            <w:tcBorders>
              <w:top w:val="single" w:sz="4" w:space="0" w:color="auto"/>
              <w:left w:val="nil"/>
              <w:bottom w:val="single" w:sz="4" w:space="0" w:color="auto"/>
              <w:right w:val="single" w:sz="4" w:space="0" w:color="auto"/>
            </w:tcBorders>
            <w:shd w:val="clear" w:color="auto" w:fill="auto"/>
            <w:vAlign w:val="center"/>
            <w:hideMark/>
          </w:tcPr>
          <w:p w:rsidR="00A75EC7" w:rsidRPr="0087335F" w:rsidP="00C51652" w14:paraId="06A8D393" w14:textId="77777777">
            <w:pPr>
              <w:spacing w:line="240" w:lineRule="auto"/>
              <w:jc w:val="center"/>
              <w:rPr>
                <w:rFonts w:cs="Arial"/>
                <w:b/>
                <w:bCs/>
                <w:color w:val="000000"/>
                <w:sz w:val="20"/>
                <w:szCs w:val="20"/>
                <w:lang w:eastAsia="cs-CZ"/>
              </w:rPr>
            </w:pPr>
            <w:r w:rsidRPr="0087335F">
              <w:rPr>
                <w:rFonts w:cs="Arial"/>
                <w:b/>
                <w:bCs/>
                <w:color w:val="000000"/>
                <w:sz w:val="20"/>
                <w:szCs w:val="20"/>
                <w:lang w:eastAsia="cs-CZ"/>
              </w:rPr>
              <w:t>Životní prostředí</w:t>
            </w:r>
          </w:p>
        </w:tc>
      </w:tr>
      <w:tr w14:paraId="69B34853" w14:textId="77777777" w:rsidTr="00613DE6">
        <w:tblPrEx>
          <w:tblW w:w="9062" w:type="dxa"/>
          <w:tblCellMar>
            <w:left w:w="70" w:type="dxa"/>
            <w:right w:w="70" w:type="dxa"/>
          </w:tblCellMar>
          <w:tblLook w:val="04A0"/>
        </w:tblPrEx>
        <w:trPr>
          <w:trHeight w:val="378"/>
        </w:trPr>
        <w:tc>
          <w:tcPr>
            <w:tcW w:w="1119" w:type="dxa"/>
            <w:vMerge/>
            <w:tcBorders>
              <w:left w:val="single" w:sz="4" w:space="0" w:color="auto"/>
              <w:right w:val="single" w:sz="4" w:space="0" w:color="auto"/>
            </w:tcBorders>
            <w:vAlign w:val="center"/>
          </w:tcPr>
          <w:p w:rsidR="00A75EC7" w:rsidRPr="0087335F" w:rsidP="003D02B3" w14:paraId="677DE046" w14:textId="77777777">
            <w:pPr>
              <w:spacing w:line="240" w:lineRule="auto"/>
              <w:jc w:val="left"/>
              <w:rPr>
                <w:rFonts w:cs="Arial"/>
                <w:b/>
                <w:bCs/>
                <w:color w:val="000000"/>
                <w:sz w:val="20"/>
                <w:szCs w:val="20"/>
                <w:lang w:eastAsia="cs-CZ"/>
              </w:rPr>
            </w:pPr>
          </w:p>
        </w:tc>
        <w:tc>
          <w:tcPr>
            <w:tcW w:w="2845" w:type="dxa"/>
            <w:tcBorders>
              <w:top w:val="single" w:sz="4" w:space="0" w:color="auto"/>
              <w:left w:val="nil"/>
              <w:bottom w:val="single" w:sz="4" w:space="0" w:color="auto"/>
              <w:right w:val="single" w:sz="4" w:space="0" w:color="auto"/>
            </w:tcBorders>
            <w:shd w:val="clear" w:color="auto" w:fill="auto"/>
            <w:vAlign w:val="center"/>
          </w:tcPr>
          <w:p w:rsidR="00A75EC7" w:rsidRPr="0096726E" w:rsidP="00C51652" w14:paraId="6311C966" w14:textId="1E90DF1E">
            <w:pPr>
              <w:spacing w:line="240" w:lineRule="auto"/>
              <w:jc w:val="center"/>
              <w:rPr>
                <w:rFonts w:cs="Arial"/>
                <w:sz w:val="20"/>
                <w:szCs w:val="20"/>
              </w:rPr>
            </w:pPr>
            <w:r>
              <w:rPr>
                <w:rFonts w:cs="Arial"/>
                <w:color w:val="000000"/>
                <w:sz w:val="20"/>
                <w:szCs w:val="20"/>
                <w:lang w:eastAsia="cs-CZ"/>
              </w:rPr>
              <w:t xml:space="preserve">Snížení znečištění životního prostředí </w:t>
            </w:r>
            <w:r w:rsidR="00A52FE0">
              <w:rPr>
                <w:rFonts w:cs="Arial"/>
                <w:bCs/>
                <w:color w:val="000000"/>
                <w:sz w:val="20"/>
                <w:szCs w:val="20"/>
                <w:lang w:eastAsia="cs-CZ"/>
              </w:rPr>
              <w:t>jednorázovými plastovými obaly</w:t>
            </w:r>
          </w:p>
        </w:tc>
        <w:tc>
          <w:tcPr>
            <w:tcW w:w="1265" w:type="dxa"/>
            <w:tcBorders>
              <w:top w:val="single" w:sz="4" w:space="0" w:color="auto"/>
              <w:left w:val="nil"/>
              <w:bottom w:val="single" w:sz="4" w:space="0" w:color="auto"/>
              <w:right w:val="single" w:sz="4" w:space="0" w:color="auto"/>
            </w:tcBorders>
            <w:shd w:val="clear" w:color="auto" w:fill="auto"/>
            <w:vAlign w:val="center"/>
          </w:tcPr>
          <w:p w:rsidR="00A75EC7" w:rsidP="00C51652" w14:paraId="3C684471" w14:textId="77777777">
            <w:pPr>
              <w:spacing w:line="240" w:lineRule="auto"/>
              <w:jc w:val="center"/>
              <w:rPr>
                <w:rFonts w:cs="Arial"/>
                <w:color w:val="000000"/>
                <w:sz w:val="20"/>
                <w:szCs w:val="20"/>
                <w:lang w:eastAsia="cs-CZ"/>
              </w:rPr>
            </w:pPr>
            <w:r>
              <w:rPr>
                <w:rFonts w:cs="Arial"/>
                <w:color w:val="000000"/>
                <w:sz w:val="20"/>
                <w:szCs w:val="20"/>
                <w:lang w:eastAsia="cs-CZ"/>
              </w:rPr>
              <w:t>***</w:t>
            </w:r>
          </w:p>
        </w:tc>
        <w:tc>
          <w:tcPr>
            <w:tcW w:w="2563" w:type="dxa"/>
            <w:tcBorders>
              <w:top w:val="single" w:sz="4" w:space="0" w:color="auto"/>
              <w:left w:val="nil"/>
              <w:bottom w:val="single" w:sz="4" w:space="0" w:color="auto"/>
              <w:right w:val="single" w:sz="4" w:space="0" w:color="auto"/>
            </w:tcBorders>
            <w:shd w:val="clear" w:color="auto" w:fill="auto"/>
            <w:vAlign w:val="center"/>
          </w:tcPr>
          <w:p w:rsidR="00A75EC7" w:rsidP="00C51652" w14:paraId="07167C98" w14:textId="77777777">
            <w:pPr>
              <w:spacing w:line="240" w:lineRule="auto"/>
              <w:jc w:val="center"/>
              <w:rPr>
                <w:rFonts w:cs="Arial"/>
                <w:color w:val="000000"/>
                <w:sz w:val="20"/>
                <w:szCs w:val="20"/>
                <w:lang w:eastAsia="cs-CZ"/>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A75EC7" w:rsidP="00C51652" w14:paraId="04B68905" w14:textId="77777777">
            <w:pPr>
              <w:spacing w:line="240" w:lineRule="auto"/>
              <w:jc w:val="center"/>
              <w:rPr>
                <w:rFonts w:cs="Arial"/>
                <w:color w:val="000000"/>
                <w:sz w:val="20"/>
                <w:szCs w:val="20"/>
                <w:lang w:eastAsia="cs-CZ"/>
              </w:rPr>
            </w:pPr>
          </w:p>
        </w:tc>
      </w:tr>
    </w:tbl>
    <w:p w:rsidR="003D02B3" w:rsidP="003D02B3" w14:paraId="3B9D7E1A" w14:textId="77777777">
      <w:pPr>
        <w:autoSpaceDE w:val="0"/>
        <w:autoSpaceDN w:val="0"/>
        <w:adjustRightInd w:val="0"/>
        <w:spacing w:line="240" w:lineRule="auto"/>
        <w:rPr>
          <w:rFonts w:cs="Arial"/>
          <w:b/>
          <w:bCs/>
          <w:color w:val="000000"/>
          <w:sz w:val="20"/>
          <w:szCs w:val="20"/>
          <w:lang w:eastAsia="cs-CZ"/>
        </w:rPr>
      </w:pPr>
      <w:r>
        <w:rPr>
          <w:rFonts w:cs="Arial"/>
          <w:b/>
          <w:bCs/>
          <w:color w:val="000000"/>
          <w:sz w:val="20"/>
          <w:szCs w:val="20"/>
          <w:lang w:eastAsia="cs-CZ"/>
        </w:rPr>
        <w:t>- bez dopadů, * velmi nízké, ** nízké, *** střední, **** vysoké, ***** velmi vysoké</w:t>
      </w:r>
    </w:p>
    <w:p w:rsidR="003D02B3" w:rsidP="003D02B3" w14:paraId="23FB8C55" w14:textId="77777777">
      <w:pPr>
        <w:rPr>
          <w:rFonts w:eastAsia="Calibri" w:cs="Arial"/>
          <w:szCs w:val="22"/>
        </w:rPr>
      </w:pPr>
      <w:r w:rsidRPr="00993C09">
        <w:rPr>
          <w:rFonts w:cs="Arial"/>
          <w:bCs/>
          <w:color w:val="000000"/>
          <w:sz w:val="20"/>
          <w:szCs w:val="20"/>
          <w:lang w:eastAsia="cs-CZ"/>
        </w:rPr>
        <w:t>U některých identifikovaných dopadů není možné kvantifikovat jejich konkrétní výši z důvodu nedostupnosti relevantních dat anebo nemožnosti odhadnout a vyčíslit budoucí chování dotčených subjektů. V takové situaci Závěrečná zpráva RIA tyto dopady vyhodnocuje kvalitativně formou slovního popisu a odstupňování předpokládané a konzultované míry dopadu pomocí ordinální škály, která je pouze zjednodušeným souhrnem celého hodnocení dopadů regulace RIA. Symboly označují předpokládanou míru dopadu navrhované změny, která byla v procesu konzultací vyhodnocena v míře od velmi nízkého očekávaného dopadu (*) po velmi vysoký (*****).</w:t>
      </w:r>
    </w:p>
    <w:p w:rsidR="003D02B3" w:rsidRPr="003E5328" w:rsidP="003D02B3" w14:paraId="04435E0B" w14:textId="77777777"/>
    <w:p w:rsidR="003D02B3" w:rsidRPr="003E5328" w:rsidP="003D02B3" w14:paraId="277B7236" w14:textId="77777777">
      <w:pPr>
        <w:pStyle w:val="Heading2"/>
      </w:pPr>
      <w:bookmarkStart w:id="68" w:name="_Toc44665285"/>
      <w:bookmarkStart w:id="69" w:name="_Toc70922825"/>
      <w:bookmarkStart w:id="70" w:name="_Toc109829326"/>
      <w:r w:rsidRPr="003E5328">
        <w:t>Stanovení pořadí variant a výběr nejvhodnějšího řešení</w:t>
      </w:r>
      <w:bookmarkEnd w:id="68"/>
      <w:bookmarkEnd w:id="69"/>
      <w:bookmarkEnd w:id="70"/>
    </w:p>
    <w:p w:rsidR="003D02B3" w:rsidRPr="003E5328" w:rsidP="00610C7D" w14:paraId="45D94D85" w14:textId="77777777">
      <w:pPr>
        <w:pStyle w:val="ListParagraph"/>
        <w:keepNext/>
        <w:numPr>
          <w:ilvl w:val="0"/>
          <w:numId w:val="3"/>
        </w:numPr>
        <w:ind w:left="714" w:hanging="357"/>
        <w:contextualSpacing/>
        <w:rPr>
          <w:b/>
          <w:bCs/>
        </w:rPr>
      </w:pPr>
      <w:r w:rsidRPr="003E5328">
        <w:rPr>
          <w:b/>
          <w:bCs/>
        </w:rPr>
        <w:t>Varianta 1</w:t>
      </w:r>
    </w:p>
    <w:p w:rsidR="003D02B3" w:rsidRPr="003E5328" w:rsidP="00610C7D" w14:paraId="3C7FC13B" w14:textId="77777777">
      <w:pPr>
        <w:pStyle w:val="ListParagraph"/>
        <w:keepNext/>
        <w:numPr>
          <w:ilvl w:val="0"/>
          <w:numId w:val="3"/>
        </w:numPr>
        <w:ind w:left="714" w:hanging="357"/>
        <w:contextualSpacing/>
      </w:pPr>
      <w:r w:rsidRPr="003E5328">
        <w:t>Varianta 0</w:t>
      </w:r>
    </w:p>
    <w:p w:rsidR="007C7E01" w:rsidP="003D02B3" w14:paraId="596C6A06" w14:textId="6A71732A">
      <w:r>
        <w:t xml:space="preserve">Doporučujeme přijmout variantu 1, která definuje konkrétní způsoby vedení informačních a osvětových kampaní a komunikační prostředky, které mají být při osvětě využívány. </w:t>
      </w:r>
      <w:r w:rsidR="005F075C">
        <w:t xml:space="preserve">Zvýšením informovanosti spotřebitelů lze dosáhnout hlavního cíle směrnice SUP, a to snížení dopadů odpadů z jednorázových plastových </w:t>
      </w:r>
      <w:r w:rsidR="00A52FE0">
        <w:t>obalů</w:t>
      </w:r>
      <w:r w:rsidR="005F075C">
        <w:t xml:space="preserve"> na životní prostředí. </w:t>
      </w:r>
    </w:p>
    <w:p w:rsidR="003D02B3" w:rsidP="003D02B3" w14:paraId="0C24CD14" w14:textId="5FB06CD1">
      <w:r>
        <w:t xml:space="preserve">Tato varianta nastavuje jednotné podmínky pro všechny výrobce </w:t>
      </w:r>
      <w:r w:rsidR="00A52FE0">
        <w:t>jednorázových plastových obalů</w:t>
      </w:r>
      <w:r w:rsidR="00144442">
        <w:t xml:space="preserve"> </w:t>
      </w:r>
      <w:r>
        <w:t xml:space="preserve">a </w:t>
      </w:r>
      <w:r w:rsidR="00A52FE0">
        <w:t>AOS</w:t>
      </w:r>
      <w:r>
        <w:t xml:space="preserve"> ohledně vedení informační a osvětové činnosti</w:t>
      </w:r>
      <w:r w:rsidR="00475434">
        <w:t xml:space="preserve">. Tito </w:t>
      </w:r>
      <w:r w:rsidRPr="00475434">
        <w:t>výrobc</w:t>
      </w:r>
      <w:r w:rsidRPr="00475434" w:rsidR="00475434">
        <w:t>i</w:t>
      </w:r>
      <w:r>
        <w:t xml:space="preserve"> se budou muset </w:t>
      </w:r>
      <w:r w:rsidR="00144442">
        <w:t>stejnou měrou</w:t>
      </w:r>
      <w:r>
        <w:t xml:space="preserve"> podílet na</w:t>
      </w:r>
      <w:r w:rsidR="00144442">
        <w:t> </w:t>
      </w:r>
      <w:r>
        <w:t>informování konečných uživatelů.</w:t>
      </w:r>
    </w:p>
    <w:p w:rsidR="00144442" w:rsidP="003D02B3" w14:paraId="56065CA0" w14:textId="77777777"/>
    <w:p w:rsidR="007F5E1C" w:rsidRPr="001E1FF8" w:rsidP="00F11241" w14:paraId="1E2A1F96" w14:textId="46FC67A0">
      <w:pPr>
        <w:pStyle w:val="TOCHeading"/>
      </w:pPr>
      <w:bookmarkStart w:id="71" w:name="_Toc66631434"/>
      <w:r w:rsidRPr="001E1FF8">
        <w:t xml:space="preserve">Ostatní zhodnocené dopady </w:t>
      </w:r>
      <w:bookmarkEnd w:id="71"/>
      <w:r>
        <w:t>vyhlášky</w:t>
      </w:r>
    </w:p>
    <w:p w:rsidR="007F5E1C" w:rsidRPr="00B166AF" w:rsidP="00DB168C" w14:paraId="510A8AD2" w14:textId="77777777">
      <w:pPr>
        <w:pStyle w:val="Normlntun"/>
      </w:pPr>
      <w:r>
        <w:rPr>
          <w:rFonts w:eastAsia="MS Mincho"/>
        </w:rPr>
        <w:t>Dopady na mezinárodní konkurenceschopnost ČR</w:t>
      </w:r>
    </w:p>
    <w:p w:rsidR="004551B3" w:rsidP="00DB168C" w14:paraId="157CB327" w14:textId="5D64FD4E">
      <w:pPr>
        <w:rPr>
          <w:rFonts w:cs="Arial"/>
        </w:rPr>
      </w:pPr>
      <w:r w:rsidRPr="004551B3">
        <w:rPr>
          <w:rFonts w:cs="Arial"/>
        </w:rPr>
        <w:t xml:space="preserve">Vyhláška nemá dopady na mezinárodní konkurenceschopnost ČR, upravuje specifické požadavky při uvádění </w:t>
      </w:r>
      <w:r w:rsidR="00E4540A">
        <w:rPr>
          <w:rFonts w:cs="EU Albertina"/>
          <w:color w:val="000000"/>
          <w:szCs w:val="22"/>
        </w:rPr>
        <w:t>jednorázových plastových obalů</w:t>
      </w:r>
      <w:r w:rsidRPr="004551B3" w:rsidR="00E4540A">
        <w:rPr>
          <w:rFonts w:cs="Arial"/>
        </w:rPr>
        <w:t xml:space="preserve"> </w:t>
      </w:r>
      <w:r w:rsidRPr="004551B3">
        <w:rPr>
          <w:rFonts w:cs="Arial"/>
        </w:rPr>
        <w:t xml:space="preserve">na trh, což s ohledem na předpokládanou většinovou orientaci českých výrobců na trh EU nemá dopad na konkurenceschopnost, jelikož se v tomto ohledu neodchyluje od nutné implementace </w:t>
      </w:r>
      <w:r w:rsidRPr="004551B3">
        <w:rPr>
          <w:rFonts w:cs="Arial"/>
        </w:rPr>
        <w:t>směrnice Evropského parlamentu a Rady (EU) 2019/904 ze dne 5. června 2019 o omezení dopadu některých plastových výrobků na životní prostředí, která je účinná v rámci celé EU.</w:t>
      </w:r>
    </w:p>
    <w:p w:rsidR="004551B3" w:rsidRPr="0039279A" w:rsidP="00DB168C" w14:paraId="0A99A76F" w14:textId="77777777">
      <w:pPr>
        <w:spacing w:before="360"/>
        <w:rPr>
          <w:b/>
          <w:bCs/>
        </w:rPr>
      </w:pPr>
      <w:r w:rsidRPr="0039279A">
        <w:rPr>
          <w:b/>
          <w:bCs/>
        </w:rPr>
        <w:t>Dopady na územní samosprávné celky (obce, kraje)</w:t>
      </w:r>
    </w:p>
    <w:p w:rsidR="004551B3" w:rsidRPr="004551B3" w:rsidP="00DB168C" w14:paraId="4F01AF89" w14:textId="395BA3CD">
      <w:pPr>
        <w:tabs>
          <w:tab w:val="left" w:pos="1037"/>
        </w:tabs>
        <w:rPr>
          <w:rFonts w:cs="Arial"/>
        </w:rPr>
      </w:pPr>
      <w:r w:rsidRPr="004551B3">
        <w:rPr>
          <w:rFonts w:cs="Arial"/>
        </w:rPr>
        <w:t xml:space="preserve">Vyhláška </w:t>
      </w:r>
      <w:r>
        <w:rPr>
          <w:rFonts w:cs="Arial"/>
        </w:rPr>
        <w:t xml:space="preserve">má </w:t>
      </w:r>
      <w:r w:rsidR="00DB168C">
        <w:rPr>
          <w:rFonts w:cs="Arial"/>
        </w:rPr>
        <w:t xml:space="preserve">pozitivní </w:t>
      </w:r>
      <w:r w:rsidRPr="004551B3">
        <w:rPr>
          <w:rFonts w:cs="Arial"/>
        </w:rPr>
        <w:t xml:space="preserve">dopad </w:t>
      </w:r>
      <w:r>
        <w:rPr>
          <w:rFonts w:cs="Arial"/>
        </w:rPr>
        <w:t xml:space="preserve">na obce </w:t>
      </w:r>
      <w:r w:rsidRPr="004551B3">
        <w:rPr>
          <w:rFonts w:cs="Arial"/>
        </w:rPr>
        <w:t>související se snížením nákladů obcí na úklid odpadků z </w:t>
      </w:r>
      <w:r w:rsidR="006C7CD5">
        <w:rPr>
          <w:rFonts w:cs="EU Albertina"/>
          <w:color w:val="000000"/>
          <w:szCs w:val="22"/>
        </w:rPr>
        <w:t>jednorázových plastových obalů</w:t>
      </w:r>
      <w:r w:rsidRPr="004551B3">
        <w:rPr>
          <w:rFonts w:cs="Arial"/>
        </w:rPr>
        <w:t>, jehož se občané zbavují mimo místa k tomu určená k jeho odkládání, a na následnou přepravu a zpracování tohoto odpadu a snížení nákladů obcí v rámci obecního systému odpadového hospodářství, jeho přepravu a</w:t>
      </w:r>
      <w:r w:rsidR="00DB168C">
        <w:rPr>
          <w:rFonts w:cs="Arial"/>
        </w:rPr>
        <w:t> </w:t>
      </w:r>
      <w:r w:rsidRPr="004551B3">
        <w:rPr>
          <w:rFonts w:cs="Arial"/>
        </w:rPr>
        <w:t>zpracování.</w:t>
      </w:r>
    </w:p>
    <w:p w:rsidR="004551B3" w:rsidRPr="004551B3" w:rsidP="00DB168C" w14:paraId="0EB808D8" w14:textId="3F756D24">
      <w:pPr>
        <w:rPr>
          <w:rFonts w:cs="Arial"/>
        </w:rPr>
      </w:pPr>
      <w:r w:rsidRPr="004551B3">
        <w:rPr>
          <w:rFonts w:cs="Arial"/>
        </w:rPr>
        <w:t xml:space="preserve">Nepřímé </w:t>
      </w:r>
      <w:r w:rsidR="00DB168C">
        <w:rPr>
          <w:rFonts w:cs="Arial"/>
        </w:rPr>
        <w:t xml:space="preserve">pozitivní </w:t>
      </w:r>
      <w:r w:rsidRPr="004551B3">
        <w:rPr>
          <w:rFonts w:cs="Arial"/>
        </w:rPr>
        <w:t>dopady souvisejí se snížením nákladů obcí na realizaci informačních kampaní cílených na občany za účelem zlepšení povědomí o tom, jak správně nakládat s odpady z </w:t>
      </w:r>
      <w:r w:rsidR="006C7CD5">
        <w:rPr>
          <w:rFonts w:cs="EU Albertina"/>
          <w:color w:val="000000"/>
          <w:szCs w:val="22"/>
        </w:rPr>
        <w:t>jednorázových plastových obalů</w:t>
      </w:r>
      <w:r w:rsidRPr="004551B3">
        <w:rPr>
          <w:rFonts w:cs="Arial"/>
        </w:rPr>
        <w:t>.</w:t>
      </w:r>
    </w:p>
    <w:p w:rsidR="007F5E1C" w:rsidP="00DB168C" w14:paraId="6DCD842A" w14:textId="77777777">
      <w:pPr>
        <w:pStyle w:val="Normlntun"/>
        <w:spacing w:before="360"/>
      </w:pPr>
      <w:r>
        <w:t>Sociální dopady</w:t>
      </w:r>
    </w:p>
    <w:p w:rsidR="007F5E1C" w:rsidP="00DB168C" w14:paraId="005442D6" w14:textId="24DCF007">
      <w:r w:rsidRPr="004551B3">
        <w:rPr>
          <w:rFonts w:cs="Arial"/>
        </w:rPr>
        <w:t xml:space="preserve">Vyhláška </w:t>
      </w:r>
      <w:r w:rsidRPr="00536150">
        <w:t xml:space="preserve">neupravuje vztahy, které by </w:t>
      </w:r>
      <w:r>
        <w:t xml:space="preserve">měly dopad na rodiny či specifické sociální skupiny obyvatel ani jejich práva, např. sociálně slabé, osoby se zdravotním postižením, národnostní menšiny či sociálně vyloučené osoby. </w:t>
      </w:r>
      <w:r w:rsidRPr="004551B3">
        <w:rPr>
          <w:rFonts w:cs="Arial"/>
        </w:rPr>
        <w:t xml:space="preserve">Vyhláška </w:t>
      </w:r>
      <w:r>
        <w:t xml:space="preserve">taktéž </w:t>
      </w:r>
      <w:r w:rsidRPr="00536150">
        <w:t>neupravuje vztahy</w:t>
      </w:r>
      <w:r>
        <w:t>, které by se dotýkaly sociální rovnosti, pracovně právních vztahů, sociálního začleňování, sdružování, práv menšin, sociálního dialogu, soukromí a ochrany osobních údajů.</w:t>
      </w:r>
    </w:p>
    <w:p w:rsidR="007F5E1C" w:rsidRPr="00B166AF" w:rsidP="00DB168C" w14:paraId="3B94BDB8" w14:textId="77777777">
      <w:pPr>
        <w:pStyle w:val="Normlntun"/>
        <w:spacing w:before="360"/>
      </w:pPr>
      <w:r>
        <w:rPr>
          <w:rFonts w:eastAsia="MS Mincho"/>
        </w:rPr>
        <w:t>Dopady na spotřebitele</w:t>
      </w:r>
    </w:p>
    <w:p w:rsidR="004551B3" w:rsidP="00DB168C" w14:paraId="5951AB67" w14:textId="096CB2C7">
      <w:pPr>
        <w:pStyle w:val="Normlntun"/>
        <w:spacing w:before="120"/>
        <w:rPr>
          <w:rFonts w:cs="Arial"/>
          <w:b w:val="0"/>
        </w:rPr>
      </w:pPr>
      <w:r w:rsidRPr="00DB168C">
        <w:rPr>
          <w:rFonts w:cs="Arial"/>
          <w:b w:val="0"/>
        </w:rPr>
        <w:t xml:space="preserve">Vyhláška má pozitivní dopad na </w:t>
      </w:r>
      <w:r>
        <w:rPr>
          <w:rFonts w:cs="Arial"/>
          <w:b w:val="0"/>
        </w:rPr>
        <w:t>spotřebitele, neboť z</w:t>
      </w:r>
      <w:r w:rsidRPr="004551B3">
        <w:rPr>
          <w:rFonts w:cs="Arial"/>
          <w:b w:val="0"/>
        </w:rPr>
        <w:t>ajiš</w:t>
      </w:r>
      <w:r>
        <w:rPr>
          <w:rFonts w:cs="Arial"/>
          <w:b w:val="0"/>
        </w:rPr>
        <w:t>ťuje</w:t>
      </w:r>
      <w:r w:rsidRPr="004551B3">
        <w:rPr>
          <w:rFonts w:cs="Arial"/>
          <w:b w:val="0"/>
        </w:rPr>
        <w:t xml:space="preserve"> vyšší informovanost a osvět</w:t>
      </w:r>
      <w:r>
        <w:rPr>
          <w:rFonts w:cs="Arial"/>
          <w:b w:val="0"/>
        </w:rPr>
        <w:t>u</w:t>
      </w:r>
      <w:r w:rsidRPr="004551B3">
        <w:rPr>
          <w:rFonts w:cs="Arial"/>
          <w:b w:val="0"/>
        </w:rPr>
        <w:t xml:space="preserve"> ohledně správného nakládání s odpadem z </w:t>
      </w:r>
      <w:r w:rsidRPr="006C7CD5" w:rsidR="006C7CD5">
        <w:rPr>
          <w:rFonts w:cs="Arial"/>
          <w:b w:val="0"/>
        </w:rPr>
        <w:t>jednorázových plastových obalů</w:t>
      </w:r>
      <w:r>
        <w:rPr>
          <w:rFonts w:cs="Arial"/>
          <w:b w:val="0"/>
        </w:rPr>
        <w:t xml:space="preserve">, </w:t>
      </w:r>
      <w:r w:rsidRPr="00DB168C">
        <w:rPr>
          <w:rFonts w:cs="Arial"/>
          <w:b w:val="0"/>
        </w:rPr>
        <w:t>což napomůže předcházení odhazování odpadků z</w:t>
      </w:r>
      <w:r w:rsidR="006C7CD5">
        <w:rPr>
          <w:rFonts w:cs="Arial"/>
          <w:b w:val="0"/>
        </w:rPr>
        <w:t> plastových obalů</w:t>
      </w:r>
      <w:r w:rsidRPr="00DB168C">
        <w:rPr>
          <w:rFonts w:cs="Arial"/>
          <w:b w:val="0"/>
        </w:rPr>
        <w:t xml:space="preserve"> mimo místa k tomu určená (mimo systém směsného komunálního odpadu) a dalším nevhodným způsobům jejich odstraňování.</w:t>
      </w:r>
    </w:p>
    <w:p w:rsidR="004551B3" w:rsidRPr="0039279A" w:rsidP="00DB168C" w14:paraId="176513F7" w14:textId="6877DC77">
      <w:pPr>
        <w:pStyle w:val="Normlntun"/>
        <w:spacing w:before="360"/>
      </w:pPr>
      <w:r>
        <w:t>Dopady na životní prostředí</w:t>
      </w:r>
    </w:p>
    <w:p w:rsidR="007F5E1C" w:rsidP="00064442" w14:paraId="543F1B9A" w14:textId="3D16AA7F">
      <w:pPr>
        <w:tabs>
          <w:tab w:val="left" w:pos="1037"/>
        </w:tabs>
      </w:pPr>
      <w:r w:rsidRPr="00DB168C">
        <w:rPr>
          <w:rFonts w:cs="Arial"/>
        </w:rPr>
        <w:t xml:space="preserve">Vyhláška má pozitivní dopad na </w:t>
      </w:r>
      <w:r w:rsidRPr="004551B3">
        <w:t>životního prostředí</w:t>
      </w:r>
      <w:r>
        <w:t xml:space="preserve">. </w:t>
      </w:r>
      <w:r w:rsidRPr="004551B3" w:rsidR="004551B3">
        <w:t>Lze očekávat celkové snížení znečištění životního prostředí odpady z </w:t>
      </w:r>
      <w:r w:rsidR="006C7CD5">
        <w:rPr>
          <w:rFonts w:cs="EU Albertina"/>
          <w:color w:val="000000"/>
          <w:szCs w:val="22"/>
        </w:rPr>
        <w:t>jednorázových plastových obalů</w:t>
      </w:r>
      <w:r w:rsidRPr="004551B3" w:rsidR="004551B3">
        <w:t xml:space="preserve">, snížení celkového množství plastového odpadu a množství odhozených plastových odpadků v přírodě i v lidských sídlech, (tzv. </w:t>
      </w:r>
      <w:r w:rsidRPr="004551B3" w:rsidR="004551B3">
        <w:t>littering</w:t>
      </w:r>
      <w:r w:rsidRPr="004551B3" w:rsidR="004551B3">
        <w:t>). Vyšší informovanost spotřebitelů povede k hlubšímu pochopení negativních dopadů plastů na</w:t>
      </w:r>
      <w:r w:rsidR="00DB168C">
        <w:t> </w:t>
      </w:r>
      <w:r w:rsidRPr="004551B3" w:rsidR="004551B3">
        <w:t xml:space="preserve">životní prostředí, což napomůže předcházení </w:t>
      </w:r>
      <w:r>
        <w:t>litteringu</w:t>
      </w:r>
      <w:r w:rsidRPr="004551B3" w:rsidR="004551B3">
        <w:t xml:space="preserve"> (mimo systém směsného komunálního odpadu) a dalším nevhodným způsobům jejich odstraňování.</w:t>
      </w:r>
      <w:r w:rsidRPr="00064442">
        <w:t xml:space="preserve"> </w:t>
      </w:r>
      <w:r w:rsidRPr="004551B3">
        <w:t>Pozitivní dopady na životní prostředí však generuje především zákon. Vyhláška již pouze upravuje a blíže specifikuje povinnosti stanovené zákonem.</w:t>
      </w:r>
    </w:p>
    <w:p w:rsidR="007F5E1C" w:rsidP="00DB168C" w14:paraId="1412D06B" w14:textId="77777777">
      <w:pPr>
        <w:pStyle w:val="Normlntun"/>
        <w:spacing w:before="360"/>
        <w:rPr>
          <w:rFonts w:eastAsia="MS Mincho"/>
        </w:rPr>
      </w:pPr>
      <w:r>
        <w:rPr>
          <w:rFonts w:eastAsia="MS Mincho"/>
        </w:rPr>
        <w:t>Dopady ve vztahu k zákazu diskriminace a ve vztahu k rovnosti žen a mužů</w:t>
      </w:r>
    </w:p>
    <w:p w:rsidR="007F5E1C" w:rsidP="00DB168C" w14:paraId="30D25ACF" w14:textId="6C6492DF">
      <w:r w:rsidRPr="004551B3">
        <w:rPr>
          <w:rFonts w:cs="Arial"/>
        </w:rPr>
        <w:t xml:space="preserve">Vyhláška </w:t>
      </w:r>
      <w:r w:rsidRPr="00536150">
        <w:t>neupravuje vztahy, které by se dotýkaly zákazu diskriminace (ve smyslu antidiskriminačního zákona jde o nerovné zacházení či znevýhodnění některé osoby z důvodu rasy, etnického původu, národnosti, pohlaví, sexuální orientace, věku, zdravotního postižení, náboženského vyznání, víry či světového názoru). Takové vztahy neupravuje ani navrhovaná právní úprava, proto lze konstatovat, že navrhované řešení nemá žádné dopady ve vztahu k zákazu diskriminace, včetně rovného postavení mužů a žen.</w:t>
      </w:r>
    </w:p>
    <w:p w:rsidR="007F5E1C" w:rsidP="00DB168C" w14:paraId="10F28B0C" w14:textId="77777777">
      <w:pPr>
        <w:pStyle w:val="Normlntun"/>
        <w:spacing w:before="360"/>
        <w:rPr>
          <w:rFonts w:eastAsia="MS Mincho"/>
        </w:rPr>
      </w:pPr>
      <w:r>
        <w:rPr>
          <w:rFonts w:eastAsia="MS Mincho"/>
        </w:rPr>
        <w:t>Dopady na výkon státní statistické služby</w:t>
      </w:r>
    </w:p>
    <w:p w:rsidR="003C26CD" w:rsidP="00DB168C" w14:paraId="5E2E1D8A" w14:textId="4CFBBC86">
      <w:r>
        <w:t xml:space="preserve">Vyhláška blíže rozvádí a specifikuje </w:t>
      </w:r>
      <w:r w:rsidR="00EB6134">
        <w:t xml:space="preserve">povinnost </w:t>
      </w:r>
      <w:r w:rsidRPr="003C26CD" w:rsidR="00EB6134">
        <w:t xml:space="preserve">ohlašování evidenčních povinností výrobců </w:t>
      </w:r>
      <w:r w:rsidR="006C7CD5">
        <w:rPr>
          <w:rFonts w:cs="EU Albertina"/>
          <w:color w:val="000000"/>
          <w:szCs w:val="22"/>
        </w:rPr>
        <w:t>jednorázových plastových obalů</w:t>
      </w:r>
      <w:r w:rsidRPr="003C26CD" w:rsidR="006C7CD5">
        <w:t xml:space="preserve"> </w:t>
      </w:r>
      <w:r w:rsidRPr="003C26CD" w:rsidR="00EB6134">
        <w:t xml:space="preserve">a </w:t>
      </w:r>
      <w:r w:rsidR="006C7CD5">
        <w:t>AOS</w:t>
      </w:r>
      <w:r w:rsidR="00EB6134">
        <w:t xml:space="preserve"> </w:t>
      </w:r>
      <w:r w:rsidRPr="003C26CD" w:rsidR="00EB6134">
        <w:t xml:space="preserve">prostřednictvím ISPOP </w:t>
      </w:r>
      <w:r w:rsidR="00EB6134">
        <w:t xml:space="preserve">stanovenou zákonem, a to </w:t>
      </w:r>
      <w:r w:rsidRPr="003C26CD" w:rsidR="00EB6134">
        <w:t xml:space="preserve">ohlašování množství vybraných </w:t>
      </w:r>
      <w:r w:rsidR="00C70CE1">
        <w:t xml:space="preserve">jednorázových </w:t>
      </w:r>
      <w:r w:rsidRPr="003C26CD" w:rsidR="00EB6134">
        <w:t>plastových výrobků</w:t>
      </w:r>
      <w:r w:rsidR="006C7CD5">
        <w:t xml:space="preserve"> (nápojových kelímků a</w:t>
      </w:r>
      <w:r w:rsidR="00C70CE1">
        <w:t> </w:t>
      </w:r>
      <w:r w:rsidR="006C7CD5">
        <w:t>obalů na potraviny)</w:t>
      </w:r>
      <w:r w:rsidRPr="003C26CD" w:rsidR="00EB6134">
        <w:t>, které výrobce uvedl na</w:t>
      </w:r>
      <w:r w:rsidR="00EB6134">
        <w:t xml:space="preserve"> trh</w:t>
      </w:r>
      <w:r w:rsidR="006C7CD5">
        <w:t xml:space="preserve">, a dále množství </w:t>
      </w:r>
      <w:r w:rsidRPr="006C7CD5" w:rsidR="006C7CD5">
        <w:t>recyklovaných plastů použitých osobami uvádějícími na trh nebo do oběhu jednorázové plastové obaly</w:t>
      </w:r>
      <w:r w:rsidR="006C7CD5">
        <w:t xml:space="preserve">. </w:t>
      </w:r>
      <w:r w:rsidR="00EB6134">
        <w:t xml:space="preserve">Tato </w:t>
      </w:r>
      <w:r w:rsidRPr="003C26CD">
        <w:t xml:space="preserve">data </w:t>
      </w:r>
      <w:r w:rsidR="00EB6134">
        <w:t xml:space="preserve">budou </w:t>
      </w:r>
      <w:r w:rsidRPr="003C26CD" w:rsidR="00EB6134">
        <w:t>integr</w:t>
      </w:r>
      <w:r w:rsidR="00EB6134">
        <w:t xml:space="preserve">ována </w:t>
      </w:r>
      <w:r w:rsidRPr="003C26CD" w:rsidR="00EB6134">
        <w:t>do nového informačního systému ISOH2</w:t>
      </w:r>
      <w:r w:rsidR="00EB6134">
        <w:t xml:space="preserve"> a </w:t>
      </w:r>
      <w:r w:rsidRPr="003C26CD">
        <w:t>mohou být potencionálně využiteln</w:t>
      </w:r>
      <w:r w:rsidR="00EB6134">
        <w:t>á</w:t>
      </w:r>
      <w:r w:rsidRPr="003C26CD">
        <w:t xml:space="preserve"> pro potřeby státní statistické služby</w:t>
      </w:r>
      <w:r w:rsidR="00EB6134">
        <w:t>.</w:t>
      </w:r>
    </w:p>
    <w:p w:rsidR="007F5E1C" w:rsidP="00DB168C" w14:paraId="2BD1B879" w14:textId="77777777">
      <w:pPr>
        <w:pStyle w:val="Normlntun"/>
        <w:spacing w:before="360"/>
        <w:rPr>
          <w:rFonts w:eastAsia="MS Mincho"/>
        </w:rPr>
      </w:pPr>
      <w:r>
        <w:rPr>
          <w:rFonts w:eastAsia="MS Mincho"/>
        </w:rPr>
        <w:t>Korupční rizika</w:t>
      </w:r>
    </w:p>
    <w:p w:rsidR="007F5E1C" w:rsidP="00DB168C" w14:paraId="279ED093" w14:textId="30DB74EF">
      <w:pPr>
        <w:rPr>
          <w:rFonts w:eastAsia="MS Mincho"/>
        </w:rPr>
      </w:pPr>
      <w:r w:rsidRPr="004551B3">
        <w:rPr>
          <w:rFonts w:cs="Arial"/>
        </w:rPr>
        <w:t xml:space="preserve">Vyhláška </w:t>
      </w:r>
      <w:r>
        <w:rPr>
          <w:rFonts w:eastAsia="MS Mincho"/>
        </w:rPr>
        <w:t>nezakládá korupční rizika ani nemá žádné dopady na míru korupce.</w:t>
      </w:r>
    </w:p>
    <w:p w:rsidR="007F5E1C" w:rsidP="00DB168C" w14:paraId="12B47058" w14:textId="77777777">
      <w:pPr>
        <w:pStyle w:val="Normlntun"/>
        <w:spacing w:before="360"/>
        <w:rPr>
          <w:rFonts w:eastAsia="MS Mincho"/>
        </w:rPr>
      </w:pPr>
      <w:r>
        <w:rPr>
          <w:rFonts w:eastAsia="MS Mincho"/>
        </w:rPr>
        <w:t>Dopady na bezpečnost nebo obranu státu</w:t>
      </w:r>
    </w:p>
    <w:p w:rsidR="007F5E1C" w:rsidP="00DB168C" w14:paraId="2F46AAC0" w14:textId="21080CAF">
      <w:pPr>
        <w:spacing w:after="240"/>
      </w:pPr>
      <w:r w:rsidRPr="004551B3">
        <w:rPr>
          <w:rFonts w:cs="Arial"/>
        </w:rPr>
        <w:t xml:space="preserve">Vyhláška </w:t>
      </w:r>
      <w:r w:rsidRPr="004C18DD">
        <w:t>ne</w:t>
      </w:r>
      <w:r>
        <w:t>má</w:t>
      </w:r>
      <w:r w:rsidRPr="004C18DD">
        <w:t xml:space="preserve"> dopady na</w:t>
      </w:r>
      <w:r>
        <w:t xml:space="preserve"> bezpečnost a obranu státu.</w:t>
      </w:r>
    </w:p>
    <w:p w:rsidR="007F5E1C" w:rsidRPr="00546E8A" w:rsidP="00F77F08" w14:paraId="0C86653D" w14:textId="77777777"/>
    <w:p w:rsidR="007B5A4F" w:rsidP="007B5A4F" w14:paraId="6D561B28" w14:textId="44CF3211">
      <w:pPr>
        <w:pStyle w:val="Heading1"/>
      </w:pPr>
      <w:bookmarkStart w:id="72" w:name="_Toc109829342"/>
      <w:r w:rsidRPr="00546E8A">
        <w:t>Implementace doporučené varianty a vynucování</w:t>
      </w:r>
      <w:bookmarkEnd w:id="72"/>
    </w:p>
    <w:p w:rsidR="001F0A68" w:rsidP="001F0A68" w14:paraId="3C8E9724" w14:textId="134B5F90">
      <w:r w:rsidRPr="00E156E6">
        <w:t xml:space="preserve">Orgánem odpovědným za implementaci navrhované právní úpravy legislativy v oblasti </w:t>
      </w:r>
      <w:r w:rsidR="00C70CE1">
        <w:rPr>
          <w:rFonts w:cs="EU Albertina"/>
          <w:color w:val="000000"/>
          <w:szCs w:val="22"/>
        </w:rPr>
        <w:t>jednorázových plastových obalů</w:t>
      </w:r>
      <w:r w:rsidRPr="00E156E6" w:rsidR="00C70CE1">
        <w:t xml:space="preserve"> </w:t>
      </w:r>
      <w:r w:rsidRPr="00E156E6">
        <w:t>je Ministerstvo životního prostředí</w:t>
      </w:r>
      <w:r w:rsidRPr="00E156E6">
        <w:rPr>
          <w:szCs w:val="22"/>
        </w:rPr>
        <w:t xml:space="preserve"> jako věcně příslušný ústřední orgán státní správy</w:t>
      </w:r>
      <w:r w:rsidRPr="00E156E6">
        <w:t>.</w:t>
      </w:r>
      <w:r w:rsidRPr="00E156E6">
        <w:rPr>
          <w:szCs w:val="22"/>
        </w:rPr>
        <w:t xml:space="preserve"> </w:t>
      </w:r>
      <w:r>
        <w:rPr>
          <w:szCs w:val="22"/>
        </w:rPr>
        <w:t>Kontrolním orgánem</w:t>
      </w:r>
      <w:r>
        <w:t>, který dohlíž</w:t>
      </w:r>
      <w:r w:rsidRPr="00ED38E9">
        <w:t>í nad dodržováním povinností vyplývajících z</w:t>
      </w:r>
      <w:r>
        <w:t xml:space="preserve">e zákona o </w:t>
      </w:r>
      <w:r w:rsidR="00C70CE1">
        <w:t>obalech</w:t>
      </w:r>
      <w:r>
        <w:t xml:space="preserve"> a z tohoto právního předpisu,</w:t>
      </w:r>
      <w:r w:rsidRPr="00ED38E9">
        <w:t xml:space="preserve"> </w:t>
      </w:r>
      <w:r>
        <w:t xml:space="preserve">je </w:t>
      </w:r>
      <w:r w:rsidR="009974F7">
        <w:t>ČIŽP</w:t>
      </w:r>
      <w:r>
        <w:t xml:space="preserve"> a MŽP.</w:t>
      </w:r>
    </w:p>
    <w:p w:rsidR="00786E81" w:rsidP="00786E81" w14:paraId="16954E93" w14:textId="2B2469FE">
      <w:pPr>
        <w:pStyle w:val="Heading1"/>
      </w:pPr>
      <w:bookmarkStart w:id="73" w:name="_Toc109829343"/>
      <w:r w:rsidRPr="00546E8A">
        <w:t>Přezkum účinnosti regulace</w:t>
      </w:r>
      <w:bookmarkEnd w:id="73"/>
    </w:p>
    <w:p w:rsidR="001F0A68" w:rsidRPr="001F0A68" w:rsidP="001F0A68" w14:paraId="464534C3" w14:textId="12258035">
      <w:r>
        <w:t xml:space="preserve">Přezkum účinnosti vyhlášky by měl být proveden spolu s přezkumem účinnosti zákona </w:t>
      </w:r>
      <w:r w:rsidR="00C70CE1">
        <w:t>o obalech v návaznosti na přezkum zákona o SUP</w:t>
      </w:r>
      <w:r>
        <w:t>. Komplexní přezkum účinnosti regulace bude proveden nejpozději v roce 2027, kdy bude taktéž proveden přezkum účinnosti směrnice ze strany Evropské komise. Přezkum implementace v ČR tak bude moci být použit jako podklad pro další vyjednávání a směřování této oblasti v EU.</w:t>
      </w:r>
    </w:p>
    <w:p w:rsidR="004634F2" w:rsidP="008F7031" w14:paraId="5288F80D" w14:textId="77777777">
      <w:pPr>
        <w:pStyle w:val="Heading1"/>
      </w:pPr>
      <w:bookmarkStart w:id="74" w:name="_Toc109829344"/>
      <w:r w:rsidRPr="00546E8A">
        <w:t>Konzultace a zdroje dat</w:t>
      </w:r>
      <w:bookmarkEnd w:id="74"/>
    </w:p>
    <w:p w:rsidR="00AA1859" w:rsidP="00AA1859" w14:paraId="75AE3474" w14:textId="704257F0">
      <w:r>
        <w:t xml:space="preserve">V rámci přípravy vyhlášky a RIA </w:t>
      </w:r>
      <w:r w:rsidR="00C70CE1">
        <w:t xml:space="preserve">byla oslovena AOS EKO-KOM s dotazem na nákladovost přimíchávání recyklátu do PET, náklady na vedení a ohlašování evidencí a vedení osvětových a informačních kampaní. </w:t>
      </w:r>
    </w:p>
    <w:p w:rsidR="001F0A68" w:rsidP="001F0A68" w14:paraId="02AD67D5" w14:textId="77777777">
      <w:pPr>
        <w:contextualSpacing/>
      </w:pPr>
    </w:p>
    <w:p w:rsidR="004F475B" w:rsidP="004F475B" w14:paraId="228EA5C7" w14:textId="77777777">
      <w:pPr>
        <w:pStyle w:val="Heading1"/>
      </w:pPr>
      <w:bookmarkStart w:id="75" w:name="_Toc109829345"/>
      <w:r w:rsidRPr="00546E8A">
        <w:t>Seznam použitých zkratek</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6850"/>
      </w:tblGrid>
      <w:tr w14:paraId="37A0F618" w14:textId="77777777" w:rsidTr="00CD12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7"/>
        </w:trPr>
        <w:tc>
          <w:tcPr>
            <w:tcW w:w="2212" w:type="dxa"/>
            <w:vAlign w:val="center"/>
          </w:tcPr>
          <w:p w:rsidR="00CD1235" w:rsidP="00846777" w14:paraId="0EB044B2" w14:textId="4B65855F">
            <w:pPr>
              <w:jc w:val="left"/>
              <w:rPr>
                <w:rFonts w:cs="Arial"/>
              </w:rPr>
            </w:pPr>
            <w:r>
              <w:rPr>
                <w:rFonts w:cs="Arial"/>
              </w:rPr>
              <w:t>AOS</w:t>
            </w:r>
          </w:p>
        </w:tc>
        <w:tc>
          <w:tcPr>
            <w:tcW w:w="6850" w:type="dxa"/>
            <w:vAlign w:val="center"/>
          </w:tcPr>
          <w:p w:rsidR="00CD1235" w:rsidP="00846777" w14:paraId="1B4816D7" w14:textId="587DF311">
            <w:pPr>
              <w:jc w:val="left"/>
            </w:pPr>
            <w:r>
              <w:t>Autorizovaná obalová společnost</w:t>
            </w:r>
          </w:p>
        </w:tc>
      </w:tr>
      <w:tr w14:paraId="4CFB3EFB" w14:textId="77777777" w:rsidTr="00CD1235">
        <w:tblPrEx>
          <w:tblW w:w="0" w:type="auto"/>
          <w:tblLook w:val="04A0"/>
        </w:tblPrEx>
        <w:trPr>
          <w:trHeight w:val="397"/>
        </w:trPr>
        <w:tc>
          <w:tcPr>
            <w:tcW w:w="2212" w:type="dxa"/>
            <w:vAlign w:val="center"/>
          </w:tcPr>
          <w:p w:rsidR="00174B97" w:rsidP="00846777" w14:paraId="6EB98C9F" w14:textId="5DABF7B4">
            <w:pPr>
              <w:jc w:val="left"/>
              <w:rPr>
                <w:rFonts w:cs="Arial"/>
              </w:rPr>
            </w:pPr>
            <w:r>
              <w:rPr>
                <w:rFonts w:cs="Arial"/>
              </w:rPr>
              <w:t>CENIA</w:t>
            </w:r>
          </w:p>
        </w:tc>
        <w:tc>
          <w:tcPr>
            <w:tcW w:w="6850" w:type="dxa"/>
            <w:vAlign w:val="center"/>
          </w:tcPr>
          <w:p w:rsidR="00174B97" w:rsidP="00846777" w14:paraId="5F54A2ED" w14:textId="2FAD14DD">
            <w:pPr>
              <w:jc w:val="left"/>
            </w:pPr>
            <w:r>
              <w:t>Česká informační agentura životního prostředí</w:t>
            </w:r>
          </w:p>
        </w:tc>
      </w:tr>
      <w:tr w14:paraId="06A6C2A2" w14:textId="77777777" w:rsidTr="00CD1235">
        <w:tblPrEx>
          <w:tblW w:w="0" w:type="auto"/>
          <w:tblLook w:val="04A0"/>
        </w:tblPrEx>
        <w:trPr>
          <w:trHeight w:val="397"/>
        </w:trPr>
        <w:tc>
          <w:tcPr>
            <w:tcW w:w="2212" w:type="dxa"/>
            <w:vAlign w:val="center"/>
          </w:tcPr>
          <w:p w:rsidR="009974F7" w:rsidP="00846777" w14:paraId="4D11A571" w14:textId="06B30460">
            <w:pPr>
              <w:jc w:val="left"/>
              <w:rPr>
                <w:rFonts w:cs="Arial"/>
              </w:rPr>
            </w:pPr>
            <w:r>
              <w:rPr>
                <w:rFonts w:cs="Arial"/>
              </w:rPr>
              <w:t>ČIŽP</w:t>
            </w:r>
          </w:p>
        </w:tc>
        <w:tc>
          <w:tcPr>
            <w:tcW w:w="6850" w:type="dxa"/>
            <w:vAlign w:val="center"/>
          </w:tcPr>
          <w:p w:rsidR="009974F7" w:rsidP="00846777" w14:paraId="3904C282" w14:textId="1B6A84AA">
            <w:pPr>
              <w:jc w:val="left"/>
            </w:pPr>
            <w:r>
              <w:t>Česká inspekce životního prostředí</w:t>
            </w:r>
          </w:p>
        </w:tc>
      </w:tr>
      <w:tr w14:paraId="7DD2C589" w14:textId="77777777" w:rsidTr="00CD1235">
        <w:tblPrEx>
          <w:tblW w:w="0" w:type="auto"/>
          <w:tblLook w:val="04A0"/>
        </w:tblPrEx>
        <w:trPr>
          <w:trHeight w:val="397"/>
        </w:trPr>
        <w:tc>
          <w:tcPr>
            <w:tcW w:w="2212" w:type="dxa"/>
            <w:vAlign w:val="center"/>
          </w:tcPr>
          <w:p w:rsidR="009974F7" w:rsidP="00846777" w14:paraId="24C5DE5C" w14:textId="19F10F4F">
            <w:pPr>
              <w:jc w:val="left"/>
              <w:rPr>
                <w:rFonts w:cs="Arial"/>
              </w:rPr>
            </w:pPr>
            <w:r>
              <w:rPr>
                <w:rFonts w:cs="Arial"/>
              </w:rPr>
              <w:t>ČR</w:t>
            </w:r>
          </w:p>
        </w:tc>
        <w:tc>
          <w:tcPr>
            <w:tcW w:w="6850" w:type="dxa"/>
            <w:vAlign w:val="center"/>
          </w:tcPr>
          <w:p w:rsidR="009974F7" w:rsidP="00846777" w14:paraId="55F046A3" w14:textId="7261FAC9">
            <w:pPr>
              <w:jc w:val="left"/>
            </w:pPr>
            <w:r>
              <w:t>Česká republika</w:t>
            </w:r>
          </w:p>
        </w:tc>
      </w:tr>
      <w:tr w14:paraId="606270BA" w14:textId="77777777" w:rsidTr="00CD1235">
        <w:tblPrEx>
          <w:tblW w:w="0" w:type="auto"/>
          <w:tblLook w:val="04A0"/>
        </w:tblPrEx>
        <w:trPr>
          <w:trHeight w:val="397"/>
        </w:trPr>
        <w:tc>
          <w:tcPr>
            <w:tcW w:w="2212" w:type="dxa"/>
            <w:vAlign w:val="center"/>
          </w:tcPr>
          <w:p w:rsidR="009974F7" w:rsidP="00846777" w14:paraId="62324DEE" w14:textId="3B8B7A7E">
            <w:pPr>
              <w:jc w:val="left"/>
              <w:rPr>
                <w:rFonts w:cs="Arial"/>
              </w:rPr>
            </w:pPr>
            <w:r>
              <w:rPr>
                <w:rFonts w:cs="Arial"/>
              </w:rPr>
              <w:t>EU</w:t>
            </w:r>
          </w:p>
        </w:tc>
        <w:tc>
          <w:tcPr>
            <w:tcW w:w="6850" w:type="dxa"/>
            <w:vAlign w:val="center"/>
          </w:tcPr>
          <w:p w:rsidR="009974F7" w:rsidP="00846777" w14:paraId="3EE488D7" w14:textId="70E71554">
            <w:pPr>
              <w:jc w:val="left"/>
            </w:pPr>
            <w:r>
              <w:t>Evropská unie</w:t>
            </w:r>
          </w:p>
        </w:tc>
      </w:tr>
      <w:tr w14:paraId="309D81F8" w14:textId="77777777" w:rsidTr="00CD1235">
        <w:tblPrEx>
          <w:tblW w:w="0" w:type="auto"/>
          <w:tblLook w:val="04A0"/>
        </w:tblPrEx>
        <w:trPr>
          <w:trHeight w:val="397"/>
        </w:trPr>
        <w:tc>
          <w:tcPr>
            <w:tcW w:w="2212" w:type="dxa"/>
            <w:vAlign w:val="center"/>
          </w:tcPr>
          <w:p w:rsidR="001B0448" w:rsidRPr="00AC549B" w:rsidP="00846777" w14:paraId="557A8D19" w14:textId="3A751E72">
            <w:pPr>
              <w:jc w:val="left"/>
              <w:rPr>
                <w:rFonts w:cs="Arial"/>
              </w:rPr>
            </w:pPr>
            <w:r>
              <w:rPr>
                <w:rFonts w:cs="Arial"/>
              </w:rPr>
              <w:t>ISOH</w:t>
            </w:r>
          </w:p>
        </w:tc>
        <w:tc>
          <w:tcPr>
            <w:tcW w:w="6850" w:type="dxa"/>
            <w:vAlign w:val="center"/>
          </w:tcPr>
          <w:p w:rsidR="001B0448" w:rsidRPr="00AC549B" w:rsidP="00846777" w14:paraId="5983CEB3" w14:textId="50CC6033">
            <w:pPr>
              <w:jc w:val="left"/>
              <w:rPr>
                <w:rFonts w:cs="Arial"/>
              </w:rPr>
            </w:pPr>
            <w:r>
              <w:t>Integrovaný systém odpadového hospodářství</w:t>
            </w:r>
          </w:p>
        </w:tc>
      </w:tr>
      <w:tr w14:paraId="74E47780" w14:textId="77777777" w:rsidTr="00CD1235">
        <w:tblPrEx>
          <w:tblW w:w="0" w:type="auto"/>
          <w:tblLook w:val="04A0"/>
        </w:tblPrEx>
        <w:trPr>
          <w:trHeight w:val="397"/>
        </w:trPr>
        <w:tc>
          <w:tcPr>
            <w:tcW w:w="2212" w:type="dxa"/>
            <w:vAlign w:val="center"/>
          </w:tcPr>
          <w:p w:rsidR="001B0448" w:rsidRPr="00AC549B" w:rsidP="00846777" w14:paraId="258FD1E0" w14:textId="097DF09A">
            <w:pPr>
              <w:jc w:val="left"/>
              <w:rPr>
                <w:rFonts w:cs="Arial"/>
              </w:rPr>
            </w:pPr>
            <w:r>
              <w:rPr>
                <w:rFonts w:cs="Arial"/>
              </w:rPr>
              <w:t>ISPOP</w:t>
            </w:r>
          </w:p>
        </w:tc>
        <w:tc>
          <w:tcPr>
            <w:tcW w:w="6850" w:type="dxa"/>
            <w:vAlign w:val="center"/>
          </w:tcPr>
          <w:p w:rsidR="001B0448" w:rsidRPr="00AC549B" w:rsidP="00846777" w14:paraId="19733C7E" w14:textId="1DC3AA1A">
            <w:pPr>
              <w:jc w:val="left"/>
              <w:rPr>
                <w:rFonts w:cs="Arial"/>
              </w:rPr>
            </w:pPr>
            <w:r>
              <w:t>Integrovaný systém plnění ohlašovacích povinností</w:t>
            </w:r>
          </w:p>
        </w:tc>
      </w:tr>
      <w:tr w14:paraId="639F4064" w14:textId="77777777" w:rsidTr="00CD1235">
        <w:tblPrEx>
          <w:tblW w:w="0" w:type="auto"/>
          <w:tblLook w:val="04A0"/>
        </w:tblPrEx>
        <w:trPr>
          <w:trHeight w:val="397"/>
        </w:trPr>
        <w:tc>
          <w:tcPr>
            <w:tcW w:w="2212" w:type="dxa"/>
            <w:vAlign w:val="center"/>
          </w:tcPr>
          <w:p w:rsidR="00174B97" w:rsidP="00846777" w14:paraId="4EDE200B" w14:textId="22932665">
            <w:pPr>
              <w:jc w:val="left"/>
              <w:rPr>
                <w:rFonts w:cs="Arial"/>
              </w:rPr>
            </w:pPr>
            <w:r>
              <w:rPr>
                <w:rFonts w:cs="Arial"/>
              </w:rPr>
              <w:t>MŽP</w:t>
            </w:r>
          </w:p>
        </w:tc>
        <w:tc>
          <w:tcPr>
            <w:tcW w:w="6850" w:type="dxa"/>
            <w:vAlign w:val="center"/>
          </w:tcPr>
          <w:p w:rsidR="00174B97" w:rsidP="00846777" w14:paraId="3A8035DD" w14:textId="294A8A09">
            <w:pPr>
              <w:jc w:val="left"/>
              <w:rPr>
                <w:rFonts w:cs="Arial"/>
              </w:rPr>
            </w:pPr>
            <w:r>
              <w:rPr>
                <w:rFonts w:cs="Arial"/>
              </w:rPr>
              <w:t>Ministerstvo životního prostředí</w:t>
            </w:r>
          </w:p>
        </w:tc>
      </w:tr>
      <w:tr w14:paraId="5A45699B" w14:textId="77777777" w:rsidTr="00CD1235">
        <w:tblPrEx>
          <w:tblW w:w="0" w:type="auto"/>
          <w:tblLook w:val="04A0"/>
        </w:tblPrEx>
        <w:trPr>
          <w:trHeight w:val="397"/>
        </w:trPr>
        <w:tc>
          <w:tcPr>
            <w:tcW w:w="2212" w:type="dxa"/>
            <w:vAlign w:val="center"/>
          </w:tcPr>
          <w:p w:rsidR="00174B97" w:rsidP="00846777" w14:paraId="44C38557" w14:textId="33F14630">
            <w:pPr>
              <w:jc w:val="left"/>
              <w:rPr>
                <w:rFonts w:cs="Arial"/>
              </w:rPr>
            </w:pPr>
            <w:r>
              <w:rPr>
                <w:rFonts w:cs="Arial"/>
              </w:rPr>
              <w:t>SUP</w:t>
            </w:r>
          </w:p>
        </w:tc>
        <w:tc>
          <w:tcPr>
            <w:tcW w:w="6850" w:type="dxa"/>
            <w:vAlign w:val="center"/>
          </w:tcPr>
          <w:p w:rsidR="00174B97" w:rsidP="00846777" w14:paraId="1BDF22C4" w14:textId="1E0629B2">
            <w:pPr>
              <w:jc w:val="left"/>
              <w:rPr>
                <w:rFonts w:cs="Arial"/>
              </w:rPr>
            </w:pPr>
            <w:r>
              <w:rPr>
                <w:rFonts w:cs="Arial"/>
              </w:rPr>
              <w:t xml:space="preserve">Single use </w:t>
            </w:r>
            <w:r>
              <w:rPr>
                <w:rFonts w:cs="Arial"/>
              </w:rPr>
              <w:t>plastic</w:t>
            </w:r>
            <w:r>
              <w:rPr>
                <w:rFonts w:cs="Arial"/>
              </w:rPr>
              <w:t xml:space="preserve"> (jednorázové plastové výrobky)</w:t>
            </w:r>
          </w:p>
        </w:tc>
      </w:tr>
    </w:tbl>
    <w:p w:rsidR="00F87881" w:rsidRPr="00546E8A" w:rsidP="00F87881" w14:paraId="7BC95F82" w14:textId="43596229">
      <w:pPr>
        <w:pStyle w:val="Heading1"/>
      </w:pPr>
      <w:bookmarkStart w:id="76" w:name="_Toc109829346"/>
      <w:r w:rsidRPr="00546E8A">
        <w:t>Kontakt na zpracovatele RIA</w:t>
      </w:r>
      <w:bookmarkEnd w:id="76"/>
    </w:p>
    <w:p w:rsidR="001F0A68" w:rsidP="001F0A68" w14:paraId="75DC80A3" w14:textId="77777777">
      <w:pPr>
        <w:spacing w:line="240" w:lineRule="auto"/>
        <w:rPr>
          <w:b/>
        </w:rPr>
      </w:pPr>
    </w:p>
    <w:p w:rsidR="001F0A68" w:rsidRPr="006615EF" w:rsidP="001F0A68" w14:paraId="15CEC6A6" w14:textId="77777777">
      <w:pPr>
        <w:spacing w:line="240" w:lineRule="auto"/>
        <w:rPr>
          <w:b/>
        </w:rPr>
      </w:pPr>
      <w:r w:rsidRPr="006615EF">
        <w:rPr>
          <w:b/>
        </w:rPr>
        <w:t>Ing. Eva Dvořáková, Ph.D.</w:t>
      </w:r>
    </w:p>
    <w:p w:rsidR="001F0A68" w:rsidRPr="00546E8A" w:rsidP="001F0A68" w14:paraId="38A77F02" w14:textId="0B18D8A5">
      <w:pPr>
        <w:spacing w:line="240" w:lineRule="auto"/>
      </w:pPr>
      <w:r w:rsidRPr="00546E8A">
        <w:t xml:space="preserve">Odbor </w:t>
      </w:r>
      <w:r w:rsidRPr="00703273" w:rsidR="00703273">
        <w:t>politiky životního prostředí a udržitelného rozvoje</w:t>
      </w:r>
    </w:p>
    <w:p w:rsidR="001F0A68" w:rsidRPr="00546E8A" w:rsidP="001F0A68" w14:paraId="0CC04C1E" w14:textId="77777777">
      <w:pPr>
        <w:spacing w:line="240" w:lineRule="auto"/>
      </w:pPr>
      <w:r w:rsidRPr="00546E8A">
        <w:t>Ministerstvo životního prostředí</w:t>
      </w:r>
    </w:p>
    <w:p w:rsidR="001F0A68" w:rsidRPr="00546E8A" w:rsidP="001F0A68" w14:paraId="4834CCF3" w14:textId="77777777">
      <w:pPr>
        <w:spacing w:line="240" w:lineRule="auto"/>
      </w:pPr>
      <w:r w:rsidRPr="00546E8A">
        <w:t>Vršovická 65, Praha 10, 100 10</w:t>
      </w:r>
    </w:p>
    <w:p w:rsidR="001F0A68" w:rsidP="001F0A68" w14:paraId="2CA76D01" w14:textId="77777777">
      <w:pPr>
        <w:spacing w:line="240" w:lineRule="auto"/>
      </w:pPr>
      <w:r w:rsidRPr="00546E8A">
        <w:t xml:space="preserve">email: </w:t>
      </w:r>
      <w:hyperlink r:id="rId8" w:history="1">
        <w:r w:rsidRPr="008A415B">
          <w:rPr>
            <w:rStyle w:val="Hyperlink"/>
          </w:rPr>
          <w:t>eva.dvorakova@mzp.cz</w:t>
        </w:r>
      </w:hyperlink>
    </w:p>
    <w:p w:rsidR="002D50AE" w:rsidP="003C1E74" w14:paraId="1010E2A9" w14:textId="3BA1093B">
      <w:pPr>
        <w:tabs>
          <w:tab w:val="left" w:pos="2760"/>
        </w:tabs>
        <w:spacing w:line="240" w:lineRule="auto"/>
      </w:pPr>
      <w:r w:rsidRPr="00546E8A">
        <w:t>tel: +420</w:t>
      </w:r>
      <w:r>
        <w:t> 704 655 780</w:t>
      </w:r>
    </w:p>
    <w:p w:rsidR="00C44D3E" w:rsidRPr="00AA6DB2" w:rsidP="00AA6DB2" w14:paraId="6FB74588" w14:textId="3C34898D"/>
    <w:sectPr w:rsidSect="00BA0CBF">
      <w:headerReference w:type="even" r:id="rId9"/>
      <w:headerReference w:type="default" r:id="rId10"/>
      <w:footerReference w:type="default" r:id="rId11"/>
      <w:headerReference w:type="first" r:id="rId12"/>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817" w:rsidP="00712531" w14:paraId="43FCD72B" w14:textId="249EF407">
    <w:pPr>
      <w:pStyle w:val="Footer"/>
      <w:jc w:val="center"/>
    </w:pPr>
    <w:r>
      <w:fldChar w:fldCharType="begin"/>
    </w:r>
    <w:r>
      <w:instrText xml:space="preserve"> PAGE   \* MERGEFORMAT </w:instrText>
    </w:r>
    <w:r>
      <w:fldChar w:fldCharType="separate"/>
    </w:r>
    <w:r>
      <w:rPr>
        <w:noProof/>
      </w:rPr>
      <w:t>21</w:t>
    </w:r>
    <w:r>
      <w:rPr>
        <w:noProof/>
      </w:rPr>
      <w:fldChar w:fldCharType="end"/>
    </w:r>
  </w:p>
  <w:p w:rsidR="003E1817" w14:paraId="55D770E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072B" w:rsidP="00DF00F7" w14:paraId="2F19D5F4" w14:textId="77777777">
      <w:pPr>
        <w:spacing w:line="240" w:lineRule="auto"/>
      </w:pPr>
      <w:r>
        <w:separator/>
      </w:r>
    </w:p>
  </w:footnote>
  <w:footnote w:type="continuationSeparator" w:id="1">
    <w:p w:rsidR="00DE072B" w:rsidP="00DF00F7" w14:paraId="48AE927F" w14:textId="77777777">
      <w:pPr>
        <w:spacing w:line="240" w:lineRule="auto"/>
      </w:pPr>
      <w:r>
        <w:continuationSeparator/>
      </w:r>
    </w:p>
  </w:footnote>
  <w:footnote w:id="2">
    <w:p w:rsidR="003E1817" w:rsidRPr="00520FEC" w:rsidP="000B37AF" w14:paraId="0C02D2C6" w14:textId="77777777">
      <w:pPr>
        <w:pStyle w:val="FootnoteText"/>
        <w:rPr>
          <w:rFonts w:cs="Arial"/>
          <w:bCs/>
          <w:iCs/>
          <w:color w:val="000000"/>
          <w:lang w:eastAsia="cs-CZ"/>
        </w:rPr>
      </w:pPr>
      <w:r>
        <w:rPr>
          <w:rStyle w:val="FootnoteReference"/>
        </w:rPr>
        <w:footnoteRef/>
      </w:r>
      <w:r>
        <w:t xml:space="preserve"> </w:t>
      </w:r>
      <w:r>
        <w:rPr>
          <w:rFonts w:cs="Arial"/>
          <w:bCs/>
          <w:iCs/>
          <w:color w:val="000000"/>
          <w:lang w:eastAsia="cs-CZ"/>
        </w:rPr>
        <w:t xml:space="preserve">Pro výpočet administrativní zátěže CENIA byla dle </w:t>
      </w:r>
      <w:r>
        <w:t>Metodiky MV stanovení plánovaných nákladů na výkon státní správy (</w:t>
      </w:r>
      <w:r w:rsidRPr="008A08F3">
        <w:rPr>
          <w:color w:val="000000"/>
        </w:rPr>
        <w:t>Ministerstvo vnitra, 2007</w:t>
      </w:r>
      <w:r>
        <w:rPr>
          <w:color w:val="000000"/>
        </w:rPr>
        <w:t>)</w:t>
      </w:r>
      <w:r>
        <w:t xml:space="preserve"> </w:t>
      </w:r>
      <w:r>
        <w:rPr>
          <w:rFonts w:cs="Arial"/>
          <w:bCs/>
          <w:iCs/>
          <w:color w:val="000000"/>
          <w:lang w:eastAsia="cs-CZ"/>
        </w:rPr>
        <w:t>použita průměrná hodinové mzda 382 Kč (</w:t>
      </w:r>
      <w:r w:rsidRPr="008D3D83">
        <w:rPr>
          <w:rFonts w:cs="Arial"/>
          <w:bCs/>
          <w:iCs/>
          <w:color w:val="000000"/>
          <w:lang w:eastAsia="cs-CZ"/>
        </w:rPr>
        <w:t>zahrnuj</w:t>
      </w:r>
      <w:r>
        <w:rPr>
          <w:rFonts w:cs="Arial"/>
          <w:bCs/>
          <w:iCs/>
          <w:color w:val="000000"/>
          <w:lang w:eastAsia="cs-CZ"/>
        </w:rPr>
        <w:t>e 35 % povinné odvody na zdravot</w:t>
      </w:r>
      <w:r w:rsidRPr="008D3D83">
        <w:rPr>
          <w:rFonts w:cs="Arial"/>
          <w:bCs/>
          <w:iCs/>
          <w:color w:val="000000"/>
          <w:lang w:eastAsia="cs-CZ"/>
        </w:rPr>
        <w:t>ní a sociální pojištění; 43 % režijní náklady</w:t>
      </w:r>
      <w:r>
        <w:rPr>
          <w:rFonts w:cs="Arial"/>
          <w:bCs/>
          <w:iCs/>
          <w:color w:val="000000"/>
          <w:lang w:eastAsia="cs-CZ"/>
        </w:rPr>
        <w:t>).</w:t>
      </w:r>
    </w:p>
  </w:footnote>
  <w:footnote w:id="3">
    <w:p w:rsidR="003E1817" w:rsidP="000B37AF" w14:paraId="635CA728" w14:textId="77777777">
      <w:pPr>
        <w:pStyle w:val="FootnoteText"/>
      </w:pPr>
      <w:r>
        <w:rPr>
          <w:rStyle w:val="FootnoteReference"/>
        </w:rPr>
        <w:footnoteRef/>
      </w:r>
      <w:r>
        <w:t xml:space="preserve"> </w:t>
      </w:r>
      <w:r>
        <w:rPr>
          <w:rFonts w:cs="Arial"/>
          <w:bCs/>
          <w:iCs/>
          <w:color w:val="000000"/>
          <w:lang w:eastAsia="cs-CZ"/>
        </w:rPr>
        <w:t xml:space="preserve">Pro výpočet administrativní zátěže MŽP byla dle </w:t>
      </w:r>
      <w:r>
        <w:t>Metodiky MV stanovení plánovaných nákladů na výkon státní správy (</w:t>
      </w:r>
      <w:r w:rsidRPr="008A08F3">
        <w:rPr>
          <w:color w:val="000000"/>
        </w:rPr>
        <w:t>Ministerstvo vnitra, 2007</w:t>
      </w:r>
      <w:r>
        <w:rPr>
          <w:color w:val="000000"/>
        </w:rPr>
        <w:t>)</w:t>
      </w:r>
      <w:r>
        <w:t xml:space="preserve"> </w:t>
      </w:r>
      <w:r>
        <w:rPr>
          <w:rFonts w:cs="Arial"/>
          <w:bCs/>
          <w:iCs/>
          <w:color w:val="000000"/>
          <w:lang w:eastAsia="cs-CZ"/>
        </w:rPr>
        <w:t>použita průměrná hodinové mzda 477 Kč (</w:t>
      </w:r>
      <w:r w:rsidRPr="008D3D83">
        <w:rPr>
          <w:rFonts w:cs="Arial"/>
          <w:bCs/>
          <w:iCs/>
          <w:color w:val="000000"/>
          <w:lang w:eastAsia="cs-CZ"/>
        </w:rPr>
        <w:t>zahrnuj</w:t>
      </w:r>
      <w:r>
        <w:rPr>
          <w:rFonts w:cs="Arial"/>
          <w:bCs/>
          <w:iCs/>
          <w:color w:val="000000"/>
          <w:lang w:eastAsia="cs-CZ"/>
        </w:rPr>
        <w:t>e 35 % povinné odvody na zdravot</w:t>
      </w:r>
      <w:r w:rsidRPr="008D3D83">
        <w:rPr>
          <w:rFonts w:cs="Arial"/>
          <w:bCs/>
          <w:iCs/>
          <w:color w:val="000000"/>
          <w:lang w:eastAsia="cs-CZ"/>
        </w:rPr>
        <w:t>ní a sociální pojištění; 43 % režijní náklady</w:t>
      </w:r>
      <w:r>
        <w:rPr>
          <w:rFonts w:cs="Arial"/>
          <w:bCs/>
          <w:iCs/>
          <w:color w:val="000000"/>
          <w:lang w:eastAsia="cs-CZ"/>
        </w:rPr>
        <w:t>).</w:t>
      </w:r>
    </w:p>
  </w:footnote>
  <w:footnote w:id="4">
    <w:p w:rsidR="003E1817" w:rsidP="003D02B3" w14:paraId="6AD79195" w14:textId="77777777">
      <w:pPr>
        <w:pStyle w:val="FootnoteText"/>
      </w:pPr>
      <w:r>
        <w:rPr>
          <w:rStyle w:val="FootnoteReference"/>
        </w:rPr>
        <w:footnoteRef/>
      </w:r>
      <w:hyperlink r:id="rId1" w:history="1">
        <w:r w:rsidRPr="00E931B8">
          <w:t>http://ekonomika.idnes.cz/na-sporu-inzerentu-s-novou-vydelaly-male-televize-fwi-/ekoakcie.aspx?c=A130419_223051_ekoakcie_brm</w:t>
        </w:r>
      </w:hyperlink>
      <w:r>
        <w:t xml:space="preserve">; </w:t>
      </w:r>
      <w:hyperlink r:id="rId2" w:history="1">
        <w:r w:rsidRPr="00E931B8">
          <w:t>http://www.mojebillboardy.cz/hledat/index/search_county/10-praha/search_billboardtype/1</w:t>
        </w:r>
      </w:hyperlink>
      <w:r w:rsidRPr="00017255">
        <w:t>; http://www.rozhlas.cz/reklama/cenik/_zprava/1303159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817" w:rsidRPr="00EC722C" w:rsidP="00EC722C" w14:paraId="23ABEB8A" w14:textId="3D2B73FF">
    <w:pPr>
      <w:pStyle w:val="Header"/>
      <w:jc w:val="right"/>
      <w:rPr>
        <w:b/>
      </w:rPr>
    </w:pPr>
    <w:r w:rsidRPr="00EC722C">
      <w:rPr>
        <w:b/>
      </w:rPr>
      <w:t>IV.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817" w14:paraId="0C8E0F77" w14:textId="48B36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817" w14:paraId="6D50C64D" w14:textId="26BDD4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817" w14:paraId="62DE9C53" w14:textId="29F21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C4B98"/>
    <w:multiLevelType w:val="hybridMultilevel"/>
    <w:tmpl w:val="E25CA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1032DC"/>
    <w:multiLevelType w:val="multilevel"/>
    <w:tmpl w:val="040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7685AFD"/>
    <w:multiLevelType w:val="hybridMultilevel"/>
    <w:tmpl w:val="C164B4CE"/>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3">
    <w:nsid w:val="096E7BC6"/>
    <w:multiLevelType w:val="hybridMultilevel"/>
    <w:tmpl w:val="2B6673DC"/>
    <w:lvl w:ilvl="0">
      <w:start w:val="1"/>
      <w:numFmt w:val="upperRoman"/>
      <w:pStyle w:val="Title"/>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2C4FF5"/>
    <w:multiLevelType w:val="hybridMultilevel"/>
    <w:tmpl w:val="E25CA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380953"/>
    <w:multiLevelType w:val="hybridMultilevel"/>
    <w:tmpl w:val="E1C2520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8036E3"/>
    <w:multiLevelType w:val="hybridMultilevel"/>
    <w:tmpl w:val="CBE81D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3827DF"/>
    <w:multiLevelType w:val="hybridMultilevel"/>
    <w:tmpl w:val="E1C2520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BA3B90"/>
    <w:multiLevelType w:val="hybridMultilevel"/>
    <w:tmpl w:val="9F4470A0"/>
    <w:lvl w:ilvl="0">
      <w:start w:val="1"/>
      <w:numFmt w:val="upperLetter"/>
      <w:pStyle w:val="Subtitle"/>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57121C6"/>
    <w:multiLevelType w:val="hybridMultilevel"/>
    <w:tmpl w:val="C8F28F20"/>
    <w:lvl w:ilvl="0">
      <w:start w:val="1"/>
      <w:numFmt w:val="bullet"/>
      <w:pStyle w:val="Styl-NormlnsodrkouVlevo189cmPedsazen063cm"/>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6E96FF9"/>
    <w:multiLevelType w:val="hybridMultilevel"/>
    <w:tmpl w:val="F1B656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8CF57E5"/>
    <w:multiLevelType w:val="hybridMultilevel"/>
    <w:tmpl w:val="0AE20110"/>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12">
    <w:nsid w:val="2A941C96"/>
    <w:multiLevelType w:val="hybridMultilevel"/>
    <w:tmpl w:val="6CBAB3A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EFF21CA"/>
    <w:multiLevelType w:val="hybridMultilevel"/>
    <w:tmpl w:val="E25CA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724ACD"/>
    <w:multiLevelType w:val="hybridMultilevel"/>
    <w:tmpl w:val="B4886A3C"/>
    <w:lvl w:ilvl="0">
      <w:start w:val="1"/>
      <w:numFmt w:val="lowerLetter"/>
      <w:lvlText w:val="%1)"/>
      <w:lvlJc w:val="left"/>
      <w:pPr>
        <w:ind w:left="93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15">
    <w:nsid w:val="30DF1983"/>
    <w:multiLevelType w:val="hybridMultilevel"/>
    <w:tmpl w:val="ECF4D51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901208C"/>
    <w:multiLevelType w:val="hybridMultilevel"/>
    <w:tmpl w:val="BA328A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C844786"/>
    <w:multiLevelType w:val="hybridMultilevel"/>
    <w:tmpl w:val="4FD4E8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071614E"/>
    <w:multiLevelType w:val="hybridMultilevel"/>
    <w:tmpl w:val="532ADE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3316EA3"/>
    <w:multiLevelType w:val="hybridMultilevel"/>
    <w:tmpl w:val="4F3C4A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53E2CEC"/>
    <w:multiLevelType w:val="hybridMultilevel"/>
    <w:tmpl w:val="39D4D9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6741D95"/>
    <w:multiLevelType w:val="hybridMultilevel"/>
    <w:tmpl w:val="E25CA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D7B2744"/>
    <w:multiLevelType w:val="hybridMultilevel"/>
    <w:tmpl w:val="4EC2E4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98036E"/>
    <w:multiLevelType w:val="hybridMultilevel"/>
    <w:tmpl w:val="90C8AC42"/>
    <w:lvl w:ilvl="0">
      <w:start w:val="2"/>
      <w:numFmt w:val="bullet"/>
      <w:lvlText w:val="-"/>
      <w:lvlJc w:val="left"/>
      <w:pPr>
        <w:ind w:left="1080" w:hanging="360"/>
      </w:pPr>
      <w:rPr>
        <w:rFonts w:ascii="Arial" w:eastAsia="MS Mincho"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DC844F5"/>
    <w:multiLevelType w:val="hybridMultilevel"/>
    <w:tmpl w:val="E1C2520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FCF6D49"/>
    <w:multiLevelType w:val="hybridMultilevel"/>
    <w:tmpl w:val="B824EE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138196F"/>
    <w:multiLevelType w:val="hybridMultilevel"/>
    <w:tmpl w:val="E25CA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19B6B50"/>
    <w:multiLevelType w:val="hybridMultilevel"/>
    <w:tmpl w:val="303CEA5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53005B76"/>
    <w:multiLevelType w:val="hybridMultilevel"/>
    <w:tmpl w:val="32288FE4"/>
    <w:lvl w:ilvl="0">
      <w:start w:val="1"/>
      <w:numFmt w:val="lowerLetter"/>
      <w:lvlText w:val="%1)"/>
      <w:lvlJc w:val="left"/>
      <w:pPr>
        <w:ind w:left="1152" w:hanging="360"/>
      </w:pPr>
      <w:rPr>
        <w:rFonts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29">
    <w:nsid w:val="567A44D8"/>
    <w:multiLevelType w:val="hybridMultilevel"/>
    <w:tmpl w:val="4EC2E4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E2A46C2"/>
    <w:multiLevelType w:val="hybridMultilevel"/>
    <w:tmpl w:val="4EC2E4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1BF321A"/>
    <w:multiLevelType w:val="hybridMultilevel"/>
    <w:tmpl w:val="E1C2520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4B67627"/>
    <w:multiLevelType w:val="hybridMultilevel"/>
    <w:tmpl w:val="24820AA8"/>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33">
    <w:nsid w:val="676F4FA0"/>
    <w:multiLevelType w:val="hybridMultilevel"/>
    <w:tmpl w:val="081ED5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AB4559B"/>
    <w:multiLevelType w:val="multilevel"/>
    <w:tmpl w:val="C14E6C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D483F0C"/>
    <w:multiLevelType w:val="hybridMultilevel"/>
    <w:tmpl w:val="1B2CE706"/>
    <w:lvl w:ilvl="0">
      <w:start w:val="2"/>
      <w:numFmt w:val="bullet"/>
      <w:lvlText w:val="-"/>
      <w:lvlJc w:val="left"/>
      <w:pPr>
        <w:ind w:left="360" w:hanging="360"/>
      </w:pPr>
      <w:rPr>
        <w:rFonts w:ascii="Arial" w:eastAsia="MS Mincho"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11039F4"/>
    <w:multiLevelType w:val="hybridMultilevel"/>
    <w:tmpl w:val="ECF4D51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4BC11BD"/>
    <w:multiLevelType w:val="multilevel"/>
    <w:tmpl w:val="4748F1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79297446"/>
    <w:multiLevelType w:val="hybridMultilevel"/>
    <w:tmpl w:val="E8F0F2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0"/>
  </w:num>
  <w:num w:numId="4">
    <w:abstractNumId w:val="9"/>
  </w:num>
  <w:num w:numId="5">
    <w:abstractNumId w:val="3"/>
  </w:num>
  <w:num w:numId="6">
    <w:abstractNumId w:val="8"/>
  </w:num>
  <w:num w:numId="7">
    <w:abstractNumId w:val="24"/>
  </w:num>
  <w:num w:numId="8">
    <w:abstractNumId w:val="21"/>
  </w:num>
  <w:num w:numId="9">
    <w:abstractNumId w:val="7"/>
  </w:num>
  <w:num w:numId="10">
    <w:abstractNumId w:val="13"/>
  </w:num>
  <w:num w:numId="11">
    <w:abstractNumId w:val="5"/>
  </w:num>
  <w:num w:numId="12">
    <w:abstractNumId w:val="31"/>
  </w:num>
  <w:num w:numId="13">
    <w:abstractNumId w:val="26"/>
  </w:num>
  <w:num w:numId="14">
    <w:abstractNumId w:val="12"/>
  </w:num>
  <w:num w:numId="15">
    <w:abstractNumId w:val="14"/>
  </w:num>
  <w:num w:numId="16">
    <w:abstractNumId w:val="30"/>
  </w:num>
  <w:num w:numId="17">
    <w:abstractNumId w:val="6"/>
  </w:num>
  <w:num w:numId="18">
    <w:abstractNumId w:val="37"/>
  </w:num>
  <w:num w:numId="19">
    <w:abstractNumId w:val="22"/>
  </w:num>
  <w:num w:numId="20">
    <w:abstractNumId w:val="36"/>
  </w:num>
  <w:num w:numId="21">
    <w:abstractNumId w:val="4"/>
  </w:num>
  <w:num w:numId="22">
    <w:abstractNumId w:val="15"/>
  </w:num>
  <w:num w:numId="23">
    <w:abstractNumId w:val="35"/>
  </w:num>
  <w:num w:numId="24">
    <w:abstractNumId w:val="34"/>
  </w:num>
  <w:num w:numId="25">
    <w:abstractNumId w:val="10"/>
  </w:num>
  <w:num w:numId="26">
    <w:abstractNumId w:val="27"/>
  </w:num>
  <w:num w:numId="27">
    <w:abstractNumId w:val="16"/>
  </w:num>
  <w:num w:numId="28">
    <w:abstractNumId w:val="17"/>
  </w:num>
  <w:num w:numId="29">
    <w:abstractNumId w:val="25"/>
  </w:num>
  <w:num w:numId="30">
    <w:abstractNumId w:val="19"/>
  </w:num>
  <w:num w:numId="31">
    <w:abstractNumId w:val="38"/>
  </w:num>
  <w:num w:numId="32">
    <w:abstractNumId w:val="23"/>
  </w:num>
  <w:num w:numId="33">
    <w:abstractNumId w:val="18"/>
  </w:num>
  <w:num w:numId="34">
    <w:abstractNumId w:val="20"/>
  </w:num>
  <w:num w:numId="35">
    <w:abstractNumId w:val="2"/>
  </w:num>
  <w:num w:numId="36">
    <w:abstractNumId w:val="28"/>
  </w:num>
  <w:num w:numId="37">
    <w:abstractNumId w:val="32"/>
  </w:num>
  <w:num w:numId="38">
    <w:abstractNumId w:val="11"/>
  </w:num>
  <w:num w:numId="39">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5F"/>
    <w:rsid w:val="00000EE6"/>
    <w:rsid w:val="00001D06"/>
    <w:rsid w:val="00002D1C"/>
    <w:rsid w:val="00003AF0"/>
    <w:rsid w:val="00003FB7"/>
    <w:rsid w:val="00005C21"/>
    <w:rsid w:val="000071ED"/>
    <w:rsid w:val="000078CB"/>
    <w:rsid w:val="000104AE"/>
    <w:rsid w:val="000111A7"/>
    <w:rsid w:val="00011C0F"/>
    <w:rsid w:val="00014DE3"/>
    <w:rsid w:val="00015575"/>
    <w:rsid w:val="0001567D"/>
    <w:rsid w:val="00015710"/>
    <w:rsid w:val="00017255"/>
    <w:rsid w:val="000175BA"/>
    <w:rsid w:val="00020099"/>
    <w:rsid w:val="0002078A"/>
    <w:rsid w:val="000219A7"/>
    <w:rsid w:val="00021A58"/>
    <w:rsid w:val="00021B28"/>
    <w:rsid w:val="00021E3E"/>
    <w:rsid w:val="000225D4"/>
    <w:rsid w:val="00022880"/>
    <w:rsid w:val="00022C81"/>
    <w:rsid w:val="00022E32"/>
    <w:rsid w:val="00023B24"/>
    <w:rsid w:val="000240C7"/>
    <w:rsid w:val="00024566"/>
    <w:rsid w:val="000255D6"/>
    <w:rsid w:val="000268E2"/>
    <w:rsid w:val="00027196"/>
    <w:rsid w:val="00027721"/>
    <w:rsid w:val="00030234"/>
    <w:rsid w:val="0003041A"/>
    <w:rsid w:val="000309D4"/>
    <w:rsid w:val="00031A3E"/>
    <w:rsid w:val="00031E6C"/>
    <w:rsid w:val="00031EAB"/>
    <w:rsid w:val="00034826"/>
    <w:rsid w:val="00035AFD"/>
    <w:rsid w:val="00036D1A"/>
    <w:rsid w:val="00037557"/>
    <w:rsid w:val="00037CCC"/>
    <w:rsid w:val="000408F8"/>
    <w:rsid w:val="000429DE"/>
    <w:rsid w:val="00042AB3"/>
    <w:rsid w:val="00042C92"/>
    <w:rsid w:val="000439D6"/>
    <w:rsid w:val="0004513F"/>
    <w:rsid w:val="00045735"/>
    <w:rsid w:val="00045B91"/>
    <w:rsid w:val="00047353"/>
    <w:rsid w:val="00047A26"/>
    <w:rsid w:val="00050D90"/>
    <w:rsid w:val="0005193C"/>
    <w:rsid w:val="000523FA"/>
    <w:rsid w:val="000538E3"/>
    <w:rsid w:val="000556B8"/>
    <w:rsid w:val="000556F0"/>
    <w:rsid w:val="00056485"/>
    <w:rsid w:val="00056529"/>
    <w:rsid w:val="000601AB"/>
    <w:rsid w:val="0006082B"/>
    <w:rsid w:val="00060DB6"/>
    <w:rsid w:val="000625D3"/>
    <w:rsid w:val="00062C2B"/>
    <w:rsid w:val="00064442"/>
    <w:rsid w:val="00065183"/>
    <w:rsid w:val="00065612"/>
    <w:rsid w:val="00065FEB"/>
    <w:rsid w:val="000669CF"/>
    <w:rsid w:val="00067457"/>
    <w:rsid w:val="0006778B"/>
    <w:rsid w:val="000708D4"/>
    <w:rsid w:val="00070B90"/>
    <w:rsid w:val="000713DA"/>
    <w:rsid w:val="0007184B"/>
    <w:rsid w:val="00071E6A"/>
    <w:rsid w:val="0007244C"/>
    <w:rsid w:val="000725C7"/>
    <w:rsid w:val="000725CF"/>
    <w:rsid w:val="00072995"/>
    <w:rsid w:val="00073219"/>
    <w:rsid w:val="0007392B"/>
    <w:rsid w:val="00076A89"/>
    <w:rsid w:val="000773B1"/>
    <w:rsid w:val="000808D1"/>
    <w:rsid w:val="000815DE"/>
    <w:rsid w:val="00081653"/>
    <w:rsid w:val="00082783"/>
    <w:rsid w:val="00083F8E"/>
    <w:rsid w:val="00084391"/>
    <w:rsid w:val="000844C4"/>
    <w:rsid w:val="00084603"/>
    <w:rsid w:val="000846B8"/>
    <w:rsid w:val="00085C54"/>
    <w:rsid w:val="000866CD"/>
    <w:rsid w:val="00086FC7"/>
    <w:rsid w:val="000873DA"/>
    <w:rsid w:val="0008785B"/>
    <w:rsid w:val="00090340"/>
    <w:rsid w:val="000904F5"/>
    <w:rsid w:val="00091277"/>
    <w:rsid w:val="000912C1"/>
    <w:rsid w:val="000913F2"/>
    <w:rsid w:val="00091E03"/>
    <w:rsid w:val="00092224"/>
    <w:rsid w:val="00092C2B"/>
    <w:rsid w:val="00093089"/>
    <w:rsid w:val="0009456F"/>
    <w:rsid w:val="000952DC"/>
    <w:rsid w:val="000A1672"/>
    <w:rsid w:val="000A1C4E"/>
    <w:rsid w:val="000A20FD"/>
    <w:rsid w:val="000A3A17"/>
    <w:rsid w:val="000A3F79"/>
    <w:rsid w:val="000A4875"/>
    <w:rsid w:val="000A515F"/>
    <w:rsid w:val="000A579E"/>
    <w:rsid w:val="000A5A7E"/>
    <w:rsid w:val="000A6067"/>
    <w:rsid w:val="000A621B"/>
    <w:rsid w:val="000A661C"/>
    <w:rsid w:val="000A6A75"/>
    <w:rsid w:val="000A7AAE"/>
    <w:rsid w:val="000B05FC"/>
    <w:rsid w:val="000B07F0"/>
    <w:rsid w:val="000B0C48"/>
    <w:rsid w:val="000B1011"/>
    <w:rsid w:val="000B1C69"/>
    <w:rsid w:val="000B1E75"/>
    <w:rsid w:val="000B246B"/>
    <w:rsid w:val="000B25E3"/>
    <w:rsid w:val="000B263E"/>
    <w:rsid w:val="000B2F6D"/>
    <w:rsid w:val="000B36B6"/>
    <w:rsid w:val="000B37AF"/>
    <w:rsid w:val="000B40FC"/>
    <w:rsid w:val="000B418E"/>
    <w:rsid w:val="000B4BAD"/>
    <w:rsid w:val="000B65C9"/>
    <w:rsid w:val="000B67DA"/>
    <w:rsid w:val="000B70AB"/>
    <w:rsid w:val="000C141F"/>
    <w:rsid w:val="000C18C3"/>
    <w:rsid w:val="000C2B0E"/>
    <w:rsid w:val="000C320D"/>
    <w:rsid w:val="000C332A"/>
    <w:rsid w:val="000C33C7"/>
    <w:rsid w:val="000C3B43"/>
    <w:rsid w:val="000C4C94"/>
    <w:rsid w:val="000C4E8E"/>
    <w:rsid w:val="000C62C1"/>
    <w:rsid w:val="000C64F7"/>
    <w:rsid w:val="000C6571"/>
    <w:rsid w:val="000C72C3"/>
    <w:rsid w:val="000D02D2"/>
    <w:rsid w:val="000D090E"/>
    <w:rsid w:val="000D09E8"/>
    <w:rsid w:val="000D14B0"/>
    <w:rsid w:val="000D1F47"/>
    <w:rsid w:val="000D3EB7"/>
    <w:rsid w:val="000D42E4"/>
    <w:rsid w:val="000D4515"/>
    <w:rsid w:val="000D5642"/>
    <w:rsid w:val="000D61E8"/>
    <w:rsid w:val="000D6C8A"/>
    <w:rsid w:val="000D6CA4"/>
    <w:rsid w:val="000D734A"/>
    <w:rsid w:val="000D75FE"/>
    <w:rsid w:val="000D7F9F"/>
    <w:rsid w:val="000E3463"/>
    <w:rsid w:val="000E3797"/>
    <w:rsid w:val="000E3BE2"/>
    <w:rsid w:val="000E3E98"/>
    <w:rsid w:val="000E45DE"/>
    <w:rsid w:val="000E4B26"/>
    <w:rsid w:val="000E5376"/>
    <w:rsid w:val="000E5767"/>
    <w:rsid w:val="000E6E21"/>
    <w:rsid w:val="000E6EAB"/>
    <w:rsid w:val="000E79D7"/>
    <w:rsid w:val="000F1A1C"/>
    <w:rsid w:val="000F2CBE"/>
    <w:rsid w:val="000F2EEA"/>
    <w:rsid w:val="000F2F90"/>
    <w:rsid w:val="000F3A59"/>
    <w:rsid w:val="000F6F3D"/>
    <w:rsid w:val="000F7BAE"/>
    <w:rsid w:val="00100493"/>
    <w:rsid w:val="00100635"/>
    <w:rsid w:val="00101359"/>
    <w:rsid w:val="0010164B"/>
    <w:rsid w:val="00101B27"/>
    <w:rsid w:val="00101C2F"/>
    <w:rsid w:val="00101E02"/>
    <w:rsid w:val="00103095"/>
    <w:rsid w:val="00103860"/>
    <w:rsid w:val="0010466A"/>
    <w:rsid w:val="0010572F"/>
    <w:rsid w:val="00105C1A"/>
    <w:rsid w:val="001061CF"/>
    <w:rsid w:val="00106E37"/>
    <w:rsid w:val="00106EA7"/>
    <w:rsid w:val="00106FF1"/>
    <w:rsid w:val="00107886"/>
    <w:rsid w:val="00110316"/>
    <w:rsid w:val="00110339"/>
    <w:rsid w:val="001117E5"/>
    <w:rsid w:val="0011188A"/>
    <w:rsid w:val="00111AA4"/>
    <w:rsid w:val="0011219A"/>
    <w:rsid w:val="001125CC"/>
    <w:rsid w:val="00112D49"/>
    <w:rsid w:val="0011332D"/>
    <w:rsid w:val="00114381"/>
    <w:rsid w:val="001157E1"/>
    <w:rsid w:val="001158CB"/>
    <w:rsid w:val="00115F29"/>
    <w:rsid w:val="001160D4"/>
    <w:rsid w:val="0011754B"/>
    <w:rsid w:val="001204E8"/>
    <w:rsid w:val="001219B1"/>
    <w:rsid w:val="00121CF6"/>
    <w:rsid w:val="00121FFB"/>
    <w:rsid w:val="00122D70"/>
    <w:rsid w:val="0012379A"/>
    <w:rsid w:val="001243A6"/>
    <w:rsid w:val="00124596"/>
    <w:rsid w:val="001245D4"/>
    <w:rsid w:val="00126248"/>
    <w:rsid w:val="00126333"/>
    <w:rsid w:val="00126C8E"/>
    <w:rsid w:val="00126EC0"/>
    <w:rsid w:val="00132496"/>
    <w:rsid w:val="00132E33"/>
    <w:rsid w:val="00133364"/>
    <w:rsid w:val="00133F43"/>
    <w:rsid w:val="00135C8D"/>
    <w:rsid w:val="00136663"/>
    <w:rsid w:val="0013742B"/>
    <w:rsid w:val="001413C6"/>
    <w:rsid w:val="001417B0"/>
    <w:rsid w:val="00143678"/>
    <w:rsid w:val="0014399E"/>
    <w:rsid w:val="00143BEF"/>
    <w:rsid w:val="00144442"/>
    <w:rsid w:val="00144FAB"/>
    <w:rsid w:val="00146256"/>
    <w:rsid w:val="001469E8"/>
    <w:rsid w:val="00150D30"/>
    <w:rsid w:val="00153774"/>
    <w:rsid w:val="00153E74"/>
    <w:rsid w:val="001541DF"/>
    <w:rsid w:val="0015436C"/>
    <w:rsid w:val="00154CED"/>
    <w:rsid w:val="00155CEE"/>
    <w:rsid w:val="00155DBE"/>
    <w:rsid w:val="00155FEB"/>
    <w:rsid w:val="00156975"/>
    <w:rsid w:val="00160D4C"/>
    <w:rsid w:val="0016105F"/>
    <w:rsid w:val="00161C92"/>
    <w:rsid w:val="0016366B"/>
    <w:rsid w:val="001643E8"/>
    <w:rsid w:val="00166542"/>
    <w:rsid w:val="001669D2"/>
    <w:rsid w:val="00166CF0"/>
    <w:rsid w:val="00166CF2"/>
    <w:rsid w:val="0016789D"/>
    <w:rsid w:val="00167FBD"/>
    <w:rsid w:val="00167FCF"/>
    <w:rsid w:val="00174B97"/>
    <w:rsid w:val="001752EB"/>
    <w:rsid w:val="001756AA"/>
    <w:rsid w:val="00177ABD"/>
    <w:rsid w:val="00177E0B"/>
    <w:rsid w:val="00180A26"/>
    <w:rsid w:val="001820F3"/>
    <w:rsid w:val="00182316"/>
    <w:rsid w:val="00182828"/>
    <w:rsid w:val="00183063"/>
    <w:rsid w:val="0018397F"/>
    <w:rsid w:val="001846A3"/>
    <w:rsid w:val="00187FA1"/>
    <w:rsid w:val="0019034D"/>
    <w:rsid w:val="0019089D"/>
    <w:rsid w:val="0019166A"/>
    <w:rsid w:val="001927AC"/>
    <w:rsid w:val="001934FD"/>
    <w:rsid w:val="00193970"/>
    <w:rsid w:val="00193FA6"/>
    <w:rsid w:val="0019401C"/>
    <w:rsid w:val="001943D3"/>
    <w:rsid w:val="00195293"/>
    <w:rsid w:val="001954E2"/>
    <w:rsid w:val="0019567E"/>
    <w:rsid w:val="00196849"/>
    <w:rsid w:val="001A019D"/>
    <w:rsid w:val="001A155E"/>
    <w:rsid w:val="001A193E"/>
    <w:rsid w:val="001A212F"/>
    <w:rsid w:val="001A42B8"/>
    <w:rsid w:val="001A4B26"/>
    <w:rsid w:val="001A6028"/>
    <w:rsid w:val="001A6C77"/>
    <w:rsid w:val="001B0324"/>
    <w:rsid w:val="001B0448"/>
    <w:rsid w:val="001B0699"/>
    <w:rsid w:val="001B07E2"/>
    <w:rsid w:val="001B0873"/>
    <w:rsid w:val="001B2FD3"/>
    <w:rsid w:val="001B3122"/>
    <w:rsid w:val="001B3418"/>
    <w:rsid w:val="001B3427"/>
    <w:rsid w:val="001B3635"/>
    <w:rsid w:val="001B3A66"/>
    <w:rsid w:val="001B4788"/>
    <w:rsid w:val="001B5F36"/>
    <w:rsid w:val="001B62CF"/>
    <w:rsid w:val="001B692F"/>
    <w:rsid w:val="001B6D5D"/>
    <w:rsid w:val="001B71C2"/>
    <w:rsid w:val="001B78B8"/>
    <w:rsid w:val="001C0354"/>
    <w:rsid w:val="001C0A73"/>
    <w:rsid w:val="001C2030"/>
    <w:rsid w:val="001C4096"/>
    <w:rsid w:val="001C40DD"/>
    <w:rsid w:val="001C48EE"/>
    <w:rsid w:val="001C7593"/>
    <w:rsid w:val="001C7BBA"/>
    <w:rsid w:val="001D0F35"/>
    <w:rsid w:val="001D1336"/>
    <w:rsid w:val="001D1E53"/>
    <w:rsid w:val="001D1F0D"/>
    <w:rsid w:val="001D2CDC"/>
    <w:rsid w:val="001D55FF"/>
    <w:rsid w:val="001D591D"/>
    <w:rsid w:val="001D5B02"/>
    <w:rsid w:val="001D6305"/>
    <w:rsid w:val="001D6347"/>
    <w:rsid w:val="001D7951"/>
    <w:rsid w:val="001D7DA7"/>
    <w:rsid w:val="001E14B3"/>
    <w:rsid w:val="001E18DA"/>
    <w:rsid w:val="001E19C6"/>
    <w:rsid w:val="001E1FF8"/>
    <w:rsid w:val="001E215E"/>
    <w:rsid w:val="001E322E"/>
    <w:rsid w:val="001E443E"/>
    <w:rsid w:val="001E5465"/>
    <w:rsid w:val="001E617C"/>
    <w:rsid w:val="001E6616"/>
    <w:rsid w:val="001E67B0"/>
    <w:rsid w:val="001E68F2"/>
    <w:rsid w:val="001F0739"/>
    <w:rsid w:val="001F0A68"/>
    <w:rsid w:val="001F20E3"/>
    <w:rsid w:val="001F2745"/>
    <w:rsid w:val="001F2900"/>
    <w:rsid w:val="001F29E5"/>
    <w:rsid w:val="001F2A93"/>
    <w:rsid w:val="001F2EE3"/>
    <w:rsid w:val="001F32AF"/>
    <w:rsid w:val="001F3808"/>
    <w:rsid w:val="001F3EBE"/>
    <w:rsid w:val="001F57B3"/>
    <w:rsid w:val="001F622A"/>
    <w:rsid w:val="001F62B3"/>
    <w:rsid w:val="001F63F8"/>
    <w:rsid w:val="00200F6D"/>
    <w:rsid w:val="00201173"/>
    <w:rsid w:val="002021B9"/>
    <w:rsid w:val="0020298C"/>
    <w:rsid w:val="002031A1"/>
    <w:rsid w:val="00203B46"/>
    <w:rsid w:val="002041AA"/>
    <w:rsid w:val="00206BAF"/>
    <w:rsid w:val="00206D9C"/>
    <w:rsid w:val="00206F35"/>
    <w:rsid w:val="00210DF0"/>
    <w:rsid w:val="0021192C"/>
    <w:rsid w:val="002121E9"/>
    <w:rsid w:val="00212C9D"/>
    <w:rsid w:val="00213FCE"/>
    <w:rsid w:val="00215442"/>
    <w:rsid w:val="002160FF"/>
    <w:rsid w:val="0021615C"/>
    <w:rsid w:val="00217207"/>
    <w:rsid w:val="00217708"/>
    <w:rsid w:val="00217A66"/>
    <w:rsid w:val="00221246"/>
    <w:rsid w:val="00221B58"/>
    <w:rsid w:val="0022248B"/>
    <w:rsid w:val="00222D38"/>
    <w:rsid w:val="0022301D"/>
    <w:rsid w:val="00224911"/>
    <w:rsid w:val="00224A93"/>
    <w:rsid w:val="00224D09"/>
    <w:rsid w:val="00224E75"/>
    <w:rsid w:val="00224F52"/>
    <w:rsid w:val="002258F6"/>
    <w:rsid w:val="00225B6D"/>
    <w:rsid w:val="00225F64"/>
    <w:rsid w:val="00227507"/>
    <w:rsid w:val="00227E99"/>
    <w:rsid w:val="00230EFE"/>
    <w:rsid w:val="00231789"/>
    <w:rsid w:val="0023254B"/>
    <w:rsid w:val="0023486F"/>
    <w:rsid w:val="002367FD"/>
    <w:rsid w:val="00236995"/>
    <w:rsid w:val="00237C8F"/>
    <w:rsid w:val="00241842"/>
    <w:rsid w:val="00241A93"/>
    <w:rsid w:val="002428B1"/>
    <w:rsid w:val="00242D60"/>
    <w:rsid w:val="00243E2A"/>
    <w:rsid w:val="0024434E"/>
    <w:rsid w:val="00245C42"/>
    <w:rsid w:val="00245D3C"/>
    <w:rsid w:val="00246BC8"/>
    <w:rsid w:val="00246C71"/>
    <w:rsid w:val="002471FC"/>
    <w:rsid w:val="00247521"/>
    <w:rsid w:val="00250416"/>
    <w:rsid w:val="00250587"/>
    <w:rsid w:val="00250B18"/>
    <w:rsid w:val="00250CDE"/>
    <w:rsid w:val="00250DD2"/>
    <w:rsid w:val="0025317C"/>
    <w:rsid w:val="00253E96"/>
    <w:rsid w:val="0025424B"/>
    <w:rsid w:val="002546DD"/>
    <w:rsid w:val="00255421"/>
    <w:rsid w:val="00255442"/>
    <w:rsid w:val="002567ED"/>
    <w:rsid w:val="00256B6C"/>
    <w:rsid w:val="00257CD4"/>
    <w:rsid w:val="00261161"/>
    <w:rsid w:val="0026125C"/>
    <w:rsid w:val="00262686"/>
    <w:rsid w:val="00262AD8"/>
    <w:rsid w:val="0026550D"/>
    <w:rsid w:val="002656A1"/>
    <w:rsid w:val="002659DC"/>
    <w:rsid w:val="0026644B"/>
    <w:rsid w:val="002671F8"/>
    <w:rsid w:val="00267762"/>
    <w:rsid w:val="00267B9F"/>
    <w:rsid w:val="0027013B"/>
    <w:rsid w:val="002725B0"/>
    <w:rsid w:val="00272CEE"/>
    <w:rsid w:val="00273657"/>
    <w:rsid w:val="00274AFB"/>
    <w:rsid w:val="00276324"/>
    <w:rsid w:val="00276941"/>
    <w:rsid w:val="00276C6A"/>
    <w:rsid w:val="00276D40"/>
    <w:rsid w:val="00277036"/>
    <w:rsid w:val="00277686"/>
    <w:rsid w:val="00277A2C"/>
    <w:rsid w:val="00280629"/>
    <w:rsid w:val="002807CC"/>
    <w:rsid w:val="00280840"/>
    <w:rsid w:val="0028113F"/>
    <w:rsid w:val="0028187C"/>
    <w:rsid w:val="002822BE"/>
    <w:rsid w:val="00282D73"/>
    <w:rsid w:val="00283573"/>
    <w:rsid w:val="00283574"/>
    <w:rsid w:val="00283CE2"/>
    <w:rsid w:val="00285317"/>
    <w:rsid w:val="002854AA"/>
    <w:rsid w:val="002855F6"/>
    <w:rsid w:val="00286B10"/>
    <w:rsid w:val="0028726C"/>
    <w:rsid w:val="002878FD"/>
    <w:rsid w:val="002903A4"/>
    <w:rsid w:val="002907D1"/>
    <w:rsid w:val="002913FE"/>
    <w:rsid w:val="002914AB"/>
    <w:rsid w:val="00293395"/>
    <w:rsid w:val="00293EAF"/>
    <w:rsid w:val="00294BB1"/>
    <w:rsid w:val="00294E8C"/>
    <w:rsid w:val="00296B5E"/>
    <w:rsid w:val="00297249"/>
    <w:rsid w:val="002978A4"/>
    <w:rsid w:val="00297E9F"/>
    <w:rsid w:val="002A013D"/>
    <w:rsid w:val="002A03BC"/>
    <w:rsid w:val="002A08BE"/>
    <w:rsid w:val="002A12A9"/>
    <w:rsid w:val="002A2E2C"/>
    <w:rsid w:val="002A3008"/>
    <w:rsid w:val="002A30DE"/>
    <w:rsid w:val="002A51E0"/>
    <w:rsid w:val="002A565C"/>
    <w:rsid w:val="002A6D88"/>
    <w:rsid w:val="002A7637"/>
    <w:rsid w:val="002A7AE1"/>
    <w:rsid w:val="002B1372"/>
    <w:rsid w:val="002B1AB0"/>
    <w:rsid w:val="002B2C21"/>
    <w:rsid w:val="002B2C63"/>
    <w:rsid w:val="002B2E58"/>
    <w:rsid w:val="002B37C4"/>
    <w:rsid w:val="002B3FF8"/>
    <w:rsid w:val="002B4040"/>
    <w:rsid w:val="002B47AD"/>
    <w:rsid w:val="002B5154"/>
    <w:rsid w:val="002B5477"/>
    <w:rsid w:val="002B687F"/>
    <w:rsid w:val="002B7882"/>
    <w:rsid w:val="002C1813"/>
    <w:rsid w:val="002C1C27"/>
    <w:rsid w:val="002C2372"/>
    <w:rsid w:val="002C262D"/>
    <w:rsid w:val="002C4831"/>
    <w:rsid w:val="002C5906"/>
    <w:rsid w:val="002C5BEB"/>
    <w:rsid w:val="002C7AEB"/>
    <w:rsid w:val="002C7E6A"/>
    <w:rsid w:val="002D0B00"/>
    <w:rsid w:val="002D12BF"/>
    <w:rsid w:val="002D20F4"/>
    <w:rsid w:val="002D273D"/>
    <w:rsid w:val="002D27E3"/>
    <w:rsid w:val="002D2900"/>
    <w:rsid w:val="002D321B"/>
    <w:rsid w:val="002D3711"/>
    <w:rsid w:val="002D50AE"/>
    <w:rsid w:val="002D575D"/>
    <w:rsid w:val="002D5C1D"/>
    <w:rsid w:val="002D5EC2"/>
    <w:rsid w:val="002D61A7"/>
    <w:rsid w:val="002D6E45"/>
    <w:rsid w:val="002D76A3"/>
    <w:rsid w:val="002D7EE7"/>
    <w:rsid w:val="002E00EB"/>
    <w:rsid w:val="002E1472"/>
    <w:rsid w:val="002E1AA4"/>
    <w:rsid w:val="002E2FCD"/>
    <w:rsid w:val="002E3675"/>
    <w:rsid w:val="002E4075"/>
    <w:rsid w:val="002E4FCE"/>
    <w:rsid w:val="002E5945"/>
    <w:rsid w:val="002E6850"/>
    <w:rsid w:val="002E6DA4"/>
    <w:rsid w:val="002E70A2"/>
    <w:rsid w:val="002F038B"/>
    <w:rsid w:val="002F0C23"/>
    <w:rsid w:val="002F143C"/>
    <w:rsid w:val="002F2B93"/>
    <w:rsid w:val="002F455D"/>
    <w:rsid w:val="002F46E9"/>
    <w:rsid w:val="002F69D5"/>
    <w:rsid w:val="002F700E"/>
    <w:rsid w:val="002F7558"/>
    <w:rsid w:val="003001C2"/>
    <w:rsid w:val="00300A77"/>
    <w:rsid w:val="00300A7E"/>
    <w:rsid w:val="00303754"/>
    <w:rsid w:val="00303AB8"/>
    <w:rsid w:val="0030412D"/>
    <w:rsid w:val="003045F3"/>
    <w:rsid w:val="00305463"/>
    <w:rsid w:val="003062AE"/>
    <w:rsid w:val="00306671"/>
    <w:rsid w:val="003100F5"/>
    <w:rsid w:val="00310FF9"/>
    <w:rsid w:val="00311350"/>
    <w:rsid w:val="00311D55"/>
    <w:rsid w:val="0031208C"/>
    <w:rsid w:val="003122FF"/>
    <w:rsid w:val="00312E75"/>
    <w:rsid w:val="00313FDF"/>
    <w:rsid w:val="00314B74"/>
    <w:rsid w:val="00315D13"/>
    <w:rsid w:val="00315E0C"/>
    <w:rsid w:val="00316F8C"/>
    <w:rsid w:val="00317155"/>
    <w:rsid w:val="0031765C"/>
    <w:rsid w:val="00320BC4"/>
    <w:rsid w:val="0032182D"/>
    <w:rsid w:val="00322CCA"/>
    <w:rsid w:val="00323092"/>
    <w:rsid w:val="00323419"/>
    <w:rsid w:val="00326193"/>
    <w:rsid w:val="00331003"/>
    <w:rsid w:val="0033276E"/>
    <w:rsid w:val="00332A96"/>
    <w:rsid w:val="00333501"/>
    <w:rsid w:val="00333BC2"/>
    <w:rsid w:val="0033467B"/>
    <w:rsid w:val="00334B74"/>
    <w:rsid w:val="00334D00"/>
    <w:rsid w:val="00334FF9"/>
    <w:rsid w:val="00335920"/>
    <w:rsid w:val="00336779"/>
    <w:rsid w:val="00337308"/>
    <w:rsid w:val="0033793D"/>
    <w:rsid w:val="00337B36"/>
    <w:rsid w:val="0034094A"/>
    <w:rsid w:val="003418E5"/>
    <w:rsid w:val="00342AEE"/>
    <w:rsid w:val="003440AA"/>
    <w:rsid w:val="003445E9"/>
    <w:rsid w:val="00346879"/>
    <w:rsid w:val="003504A1"/>
    <w:rsid w:val="003511F4"/>
    <w:rsid w:val="00351383"/>
    <w:rsid w:val="00352946"/>
    <w:rsid w:val="00354857"/>
    <w:rsid w:val="00356E4F"/>
    <w:rsid w:val="0036006E"/>
    <w:rsid w:val="00361E09"/>
    <w:rsid w:val="00361ED7"/>
    <w:rsid w:val="00364D7A"/>
    <w:rsid w:val="00365547"/>
    <w:rsid w:val="003657A2"/>
    <w:rsid w:val="003658ED"/>
    <w:rsid w:val="00366364"/>
    <w:rsid w:val="0036675A"/>
    <w:rsid w:val="003667E6"/>
    <w:rsid w:val="00366C4F"/>
    <w:rsid w:val="0036793D"/>
    <w:rsid w:val="00367DF5"/>
    <w:rsid w:val="0037013B"/>
    <w:rsid w:val="003703FB"/>
    <w:rsid w:val="003706A6"/>
    <w:rsid w:val="00374B15"/>
    <w:rsid w:val="00377262"/>
    <w:rsid w:val="003775DF"/>
    <w:rsid w:val="003776A1"/>
    <w:rsid w:val="0037781C"/>
    <w:rsid w:val="0038012C"/>
    <w:rsid w:val="00381F46"/>
    <w:rsid w:val="003830E9"/>
    <w:rsid w:val="00383FCC"/>
    <w:rsid w:val="0038462B"/>
    <w:rsid w:val="00385D47"/>
    <w:rsid w:val="00386150"/>
    <w:rsid w:val="00386203"/>
    <w:rsid w:val="0038654E"/>
    <w:rsid w:val="00386646"/>
    <w:rsid w:val="00386752"/>
    <w:rsid w:val="00386B82"/>
    <w:rsid w:val="00386BF7"/>
    <w:rsid w:val="00390CDB"/>
    <w:rsid w:val="00390D54"/>
    <w:rsid w:val="00391986"/>
    <w:rsid w:val="0039213F"/>
    <w:rsid w:val="0039279A"/>
    <w:rsid w:val="003927AE"/>
    <w:rsid w:val="00393110"/>
    <w:rsid w:val="003931E7"/>
    <w:rsid w:val="003934DA"/>
    <w:rsid w:val="003949C2"/>
    <w:rsid w:val="00396172"/>
    <w:rsid w:val="00396263"/>
    <w:rsid w:val="00396C59"/>
    <w:rsid w:val="00397528"/>
    <w:rsid w:val="00397745"/>
    <w:rsid w:val="00397821"/>
    <w:rsid w:val="00397956"/>
    <w:rsid w:val="003A2208"/>
    <w:rsid w:val="003A3CAD"/>
    <w:rsid w:val="003A411F"/>
    <w:rsid w:val="003A5183"/>
    <w:rsid w:val="003A738C"/>
    <w:rsid w:val="003B0A4E"/>
    <w:rsid w:val="003B1085"/>
    <w:rsid w:val="003B19F2"/>
    <w:rsid w:val="003B2660"/>
    <w:rsid w:val="003B38C0"/>
    <w:rsid w:val="003B4E80"/>
    <w:rsid w:val="003B5426"/>
    <w:rsid w:val="003B5518"/>
    <w:rsid w:val="003B6000"/>
    <w:rsid w:val="003B6125"/>
    <w:rsid w:val="003B67F8"/>
    <w:rsid w:val="003B7A65"/>
    <w:rsid w:val="003C0D85"/>
    <w:rsid w:val="003C0EEB"/>
    <w:rsid w:val="003C1280"/>
    <w:rsid w:val="003C1B23"/>
    <w:rsid w:val="003C1D54"/>
    <w:rsid w:val="003C1E74"/>
    <w:rsid w:val="003C1EA7"/>
    <w:rsid w:val="003C26CD"/>
    <w:rsid w:val="003C3A0F"/>
    <w:rsid w:val="003C5D5C"/>
    <w:rsid w:val="003C6FC8"/>
    <w:rsid w:val="003D02B3"/>
    <w:rsid w:val="003D0F36"/>
    <w:rsid w:val="003D3A66"/>
    <w:rsid w:val="003D485A"/>
    <w:rsid w:val="003D73F1"/>
    <w:rsid w:val="003D79D6"/>
    <w:rsid w:val="003E06F6"/>
    <w:rsid w:val="003E08D8"/>
    <w:rsid w:val="003E0F6C"/>
    <w:rsid w:val="003E1817"/>
    <w:rsid w:val="003E2E17"/>
    <w:rsid w:val="003E3123"/>
    <w:rsid w:val="003E361F"/>
    <w:rsid w:val="003E3975"/>
    <w:rsid w:val="003E3B6A"/>
    <w:rsid w:val="003E48C3"/>
    <w:rsid w:val="003E5328"/>
    <w:rsid w:val="003E5573"/>
    <w:rsid w:val="003E7197"/>
    <w:rsid w:val="003E71E5"/>
    <w:rsid w:val="003F063D"/>
    <w:rsid w:val="003F0E58"/>
    <w:rsid w:val="003F2750"/>
    <w:rsid w:val="003F3B58"/>
    <w:rsid w:val="003F3D7B"/>
    <w:rsid w:val="003F58C1"/>
    <w:rsid w:val="003F5DCC"/>
    <w:rsid w:val="003F7B05"/>
    <w:rsid w:val="003F7FDB"/>
    <w:rsid w:val="004000AB"/>
    <w:rsid w:val="004019BE"/>
    <w:rsid w:val="00402094"/>
    <w:rsid w:val="00402206"/>
    <w:rsid w:val="00403ABF"/>
    <w:rsid w:val="004042C1"/>
    <w:rsid w:val="0040493B"/>
    <w:rsid w:val="00404940"/>
    <w:rsid w:val="00404DDE"/>
    <w:rsid w:val="00405901"/>
    <w:rsid w:val="00406528"/>
    <w:rsid w:val="0040690A"/>
    <w:rsid w:val="00410177"/>
    <w:rsid w:val="00410210"/>
    <w:rsid w:val="004103E0"/>
    <w:rsid w:val="00410474"/>
    <w:rsid w:val="00410934"/>
    <w:rsid w:val="0041094B"/>
    <w:rsid w:val="004115A9"/>
    <w:rsid w:val="004117D1"/>
    <w:rsid w:val="00411957"/>
    <w:rsid w:val="00412607"/>
    <w:rsid w:val="004128F7"/>
    <w:rsid w:val="004136CC"/>
    <w:rsid w:val="00413B70"/>
    <w:rsid w:val="0041626E"/>
    <w:rsid w:val="00416665"/>
    <w:rsid w:val="00416782"/>
    <w:rsid w:val="00416BBF"/>
    <w:rsid w:val="0042012E"/>
    <w:rsid w:val="00421EEB"/>
    <w:rsid w:val="00422F6F"/>
    <w:rsid w:val="00423199"/>
    <w:rsid w:val="00424E68"/>
    <w:rsid w:val="00426812"/>
    <w:rsid w:val="00426E64"/>
    <w:rsid w:val="004271FC"/>
    <w:rsid w:val="0042785C"/>
    <w:rsid w:val="00427C80"/>
    <w:rsid w:val="004311DE"/>
    <w:rsid w:val="00432AD1"/>
    <w:rsid w:val="00432C82"/>
    <w:rsid w:val="00432F88"/>
    <w:rsid w:val="00433060"/>
    <w:rsid w:val="00433A45"/>
    <w:rsid w:val="00434613"/>
    <w:rsid w:val="004348E6"/>
    <w:rsid w:val="0043501A"/>
    <w:rsid w:val="00435C58"/>
    <w:rsid w:val="0043654B"/>
    <w:rsid w:val="0043758D"/>
    <w:rsid w:val="00437B3B"/>
    <w:rsid w:val="00437EEA"/>
    <w:rsid w:val="0044036E"/>
    <w:rsid w:val="0044057D"/>
    <w:rsid w:val="00440784"/>
    <w:rsid w:val="00440C37"/>
    <w:rsid w:val="00442F36"/>
    <w:rsid w:val="004433B3"/>
    <w:rsid w:val="00443A50"/>
    <w:rsid w:val="00443E71"/>
    <w:rsid w:val="0044716A"/>
    <w:rsid w:val="00450E6C"/>
    <w:rsid w:val="00451636"/>
    <w:rsid w:val="0045237E"/>
    <w:rsid w:val="00452529"/>
    <w:rsid w:val="004527B5"/>
    <w:rsid w:val="0045401B"/>
    <w:rsid w:val="004551B3"/>
    <w:rsid w:val="00455C95"/>
    <w:rsid w:val="00455E83"/>
    <w:rsid w:val="0045684B"/>
    <w:rsid w:val="00456C9F"/>
    <w:rsid w:val="0045700D"/>
    <w:rsid w:val="00457AAD"/>
    <w:rsid w:val="00457E35"/>
    <w:rsid w:val="00460FFC"/>
    <w:rsid w:val="0046212A"/>
    <w:rsid w:val="00462F9F"/>
    <w:rsid w:val="004634F2"/>
    <w:rsid w:val="00463F2A"/>
    <w:rsid w:val="0046423B"/>
    <w:rsid w:val="00464807"/>
    <w:rsid w:val="00464C02"/>
    <w:rsid w:val="0046575D"/>
    <w:rsid w:val="00466EB0"/>
    <w:rsid w:val="00466ED7"/>
    <w:rsid w:val="004700B9"/>
    <w:rsid w:val="00470315"/>
    <w:rsid w:val="00470744"/>
    <w:rsid w:val="00472678"/>
    <w:rsid w:val="00473086"/>
    <w:rsid w:val="00473CBE"/>
    <w:rsid w:val="004745D2"/>
    <w:rsid w:val="004750AC"/>
    <w:rsid w:val="00475434"/>
    <w:rsid w:val="004754CA"/>
    <w:rsid w:val="00475618"/>
    <w:rsid w:val="00475AA4"/>
    <w:rsid w:val="004761A1"/>
    <w:rsid w:val="0047687C"/>
    <w:rsid w:val="00477121"/>
    <w:rsid w:val="00480E5D"/>
    <w:rsid w:val="0048196C"/>
    <w:rsid w:val="00481CDF"/>
    <w:rsid w:val="00481D14"/>
    <w:rsid w:val="004824D8"/>
    <w:rsid w:val="00485997"/>
    <w:rsid w:val="004859E2"/>
    <w:rsid w:val="00485D9E"/>
    <w:rsid w:val="00486F02"/>
    <w:rsid w:val="004904B2"/>
    <w:rsid w:val="00494C10"/>
    <w:rsid w:val="00496368"/>
    <w:rsid w:val="004972B3"/>
    <w:rsid w:val="00497658"/>
    <w:rsid w:val="0049798E"/>
    <w:rsid w:val="00497C82"/>
    <w:rsid w:val="004A03CC"/>
    <w:rsid w:val="004A19E0"/>
    <w:rsid w:val="004A1C71"/>
    <w:rsid w:val="004A2849"/>
    <w:rsid w:val="004A311E"/>
    <w:rsid w:val="004A42B9"/>
    <w:rsid w:val="004A4E04"/>
    <w:rsid w:val="004A4E39"/>
    <w:rsid w:val="004A5092"/>
    <w:rsid w:val="004A5340"/>
    <w:rsid w:val="004A671B"/>
    <w:rsid w:val="004A6FE3"/>
    <w:rsid w:val="004A709D"/>
    <w:rsid w:val="004B0200"/>
    <w:rsid w:val="004B1725"/>
    <w:rsid w:val="004B229B"/>
    <w:rsid w:val="004B260F"/>
    <w:rsid w:val="004B2939"/>
    <w:rsid w:val="004B2BE5"/>
    <w:rsid w:val="004B3D0C"/>
    <w:rsid w:val="004B482A"/>
    <w:rsid w:val="004B4B14"/>
    <w:rsid w:val="004B5565"/>
    <w:rsid w:val="004B5A03"/>
    <w:rsid w:val="004B6953"/>
    <w:rsid w:val="004B6C92"/>
    <w:rsid w:val="004C1327"/>
    <w:rsid w:val="004C1618"/>
    <w:rsid w:val="004C1860"/>
    <w:rsid w:val="004C18DD"/>
    <w:rsid w:val="004C307B"/>
    <w:rsid w:val="004C4699"/>
    <w:rsid w:val="004C5A60"/>
    <w:rsid w:val="004C78F8"/>
    <w:rsid w:val="004D0AB7"/>
    <w:rsid w:val="004D1A82"/>
    <w:rsid w:val="004D3569"/>
    <w:rsid w:val="004D4789"/>
    <w:rsid w:val="004D57E9"/>
    <w:rsid w:val="004D6352"/>
    <w:rsid w:val="004D6AB4"/>
    <w:rsid w:val="004D7417"/>
    <w:rsid w:val="004D7BEB"/>
    <w:rsid w:val="004D7C51"/>
    <w:rsid w:val="004E03A1"/>
    <w:rsid w:val="004E088A"/>
    <w:rsid w:val="004E0DA2"/>
    <w:rsid w:val="004E40F2"/>
    <w:rsid w:val="004E5051"/>
    <w:rsid w:val="004E63B0"/>
    <w:rsid w:val="004E6C50"/>
    <w:rsid w:val="004E6F8F"/>
    <w:rsid w:val="004F1BAE"/>
    <w:rsid w:val="004F2712"/>
    <w:rsid w:val="004F32F6"/>
    <w:rsid w:val="004F3E07"/>
    <w:rsid w:val="004F475B"/>
    <w:rsid w:val="004F49DE"/>
    <w:rsid w:val="004F51DE"/>
    <w:rsid w:val="004F526F"/>
    <w:rsid w:val="004F6A0C"/>
    <w:rsid w:val="004F7BA3"/>
    <w:rsid w:val="00500741"/>
    <w:rsid w:val="0050089B"/>
    <w:rsid w:val="005023F4"/>
    <w:rsid w:val="00503C24"/>
    <w:rsid w:val="0050482D"/>
    <w:rsid w:val="00504AFC"/>
    <w:rsid w:val="00505634"/>
    <w:rsid w:val="00507406"/>
    <w:rsid w:val="005075E6"/>
    <w:rsid w:val="0051165E"/>
    <w:rsid w:val="00512699"/>
    <w:rsid w:val="00512BDD"/>
    <w:rsid w:val="00512FDB"/>
    <w:rsid w:val="00513579"/>
    <w:rsid w:val="00514409"/>
    <w:rsid w:val="005156E5"/>
    <w:rsid w:val="005176EC"/>
    <w:rsid w:val="00517EDA"/>
    <w:rsid w:val="005204EC"/>
    <w:rsid w:val="005209DE"/>
    <w:rsid w:val="00520A53"/>
    <w:rsid w:val="00520FEC"/>
    <w:rsid w:val="00521DE4"/>
    <w:rsid w:val="005226D1"/>
    <w:rsid w:val="00524341"/>
    <w:rsid w:val="00525267"/>
    <w:rsid w:val="00525489"/>
    <w:rsid w:val="0052555E"/>
    <w:rsid w:val="005256BC"/>
    <w:rsid w:val="00525CC8"/>
    <w:rsid w:val="005279E9"/>
    <w:rsid w:val="005300C5"/>
    <w:rsid w:val="005305F1"/>
    <w:rsid w:val="00530C93"/>
    <w:rsid w:val="00530E30"/>
    <w:rsid w:val="005359ED"/>
    <w:rsid w:val="00535C1B"/>
    <w:rsid w:val="00536150"/>
    <w:rsid w:val="00536A65"/>
    <w:rsid w:val="005372C8"/>
    <w:rsid w:val="00540675"/>
    <w:rsid w:val="00541D33"/>
    <w:rsid w:val="005424A4"/>
    <w:rsid w:val="00543042"/>
    <w:rsid w:val="00543056"/>
    <w:rsid w:val="00543744"/>
    <w:rsid w:val="00543D4B"/>
    <w:rsid w:val="00543DD4"/>
    <w:rsid w:val="00544107"/>
    <w:rsid w:val="0054416B"/>
    <w:rsid w:val="0054433B"/>
    <w:rsid w:val="0054477D"/>
    <w:rsid w:val="00545412"/>
    <w:rsid w:val="00546839"/>
    <w:rsid w:val="00546E8A"/>
    <w:rsid w:val="00547C99"/>
    <w:rsid w:val="00550BDF"/>
    <w:rsid w:val="00550D3B"/>
    <w:rsid w:val="0055160E"/>
    <w:rsid w:val="0055166A"/>
    <w:rsid w:val="005520B0"/>
    <w:rsid w:val="00552ECD"/>
    <w:rsid w:val="005544E4"/>
    <w:rsid w:val="00554AB0"/>
    <w:rsid w:val="005552F1"/>
    <w:rsid w:val="005557D3"/>
    <w:rsid w:val="00556C48"/>
    <w:rsid w:val="005577EA"/>
    <w:rsid w:val="00560E63"/>
    <w:rsid w:val="00561110"/>
    <w:rsid w:val="00564811"/>
    <w:rsid w:val="00564CDB"/>
    <w:rsid w:val="00565AE8"/>
    <w:rsid w:val="00565C4B"/>
    <w:rsid w:val="00566E77"/>
    <w:rsid w:val="00567505"/>
    <w:rsid w:val="00567D7C"/>
    <w:rsid w:val="00571FC1"/>
    <w:rsid w:val="00573756"/>
    <w:rsid w:val="00575180"/>
    <w:rsid w:val="005751B9"/>
    <w:rsid w:val="00575805"/>
    <w:rsid w:val="005758C7"/>
    <w:rsid w:val="00575F1F"/>
    <w:rsid w:val="00577190"/>
    <w:rsid w:val="00582916"/>
    <w:rsid w:val="0058549E"/>
    <w:rsid w:val="00585F00"/>
    <w:rsid w:val="00586451"/>
    <w:rsid w:val="0059005C"/>
    <w:rsid w:val="005929C9"/>
    <w:rsid w:val="00594575"/>
    <w:rsid w:val="005947A9"/>
    <w:rsid w:val="00594EF2"/>
    <w:rsid w:val="00594F6F"/>
    <w:rsid w:val="00595954"/>
    <w:rsid w:val="00595B0B"/>
    <w:rsid w:val="00595E6F"/>
    <w:rsid w:val="00597551"/>
    <w:rsid w:val="00597FFD"/>
    <w:rsid w:val="005A0377"/>
    <w:rsid w:val="005A0DFB"/>
    <w:rsid w:val="005A28F6"/>
    <w:rsid w:val="005A32F2"/>
    <w:rsid w:val="005A364B"/>
    <w:rsid w:val="005A36D8"/>
    <w:rsid w:val="005A4264"/>
    <w:rsid w:val="005A53AF"/>
    <w:rsid w:val="005A581C"/>
    <w:rsid w:val="005A5FDD"/>
    <w:rsid w:val="005A6636"/>
    <w:rsid w:val="005A7C08"/>
    <w:rsid w:val="005B2B7D"/>
    <w:rsid w:val="005B40CD"/>
    <w:rsid w:val="005B433A"/>
    <w:rsid w:val="005B4379"/>
    <w:rsid w:val="005B47A3"/>
    <w:rsid w:val="005B5B09"/>
    <w:rsid w:val="005B6D33"/>
    <w:rsid w:val="005C0369"/>
    <w:rsid w:val="005C13FF"/>
    <w:rsid w:val="005C3042"/>
    <w:rsid w:val="005C3F76"/>
    <w:rsid w:val="005C42CE"/>
    <w:rsid w:val="005C4A0F"/>
    <w:rsid w:val="005C602E"/>
    <w:rsid w:val="005C6118"/>
    <w:rsid w:val="005C6391"/>
    <w:rsid w:val="005D085D"/>
    <w:rsid w:val="005D0C2B"/>
    <w:rsid w:val="005D0E96"/>
    <w:rsid w:val="005D1BFF"/>
    <w:rsid w:val="005D22F2"/>
    <w:rsid w:val="005D2388"/>
    <w:rsid w:val="005D257C"/>
    <w:rsid w:val="005D2DD6"/>
    <w:rsid w:val="005D2F16"/>
    <w:rsid w:val="005D34C6"/>
    <w:rsid w:val="005D409E"/>
    <w:rsid w:val="005D68DD"/>
    <w:rsid w:val="005E0D5C"/>
    <w:rsid w:val="005E1446"/>
    <w:rsid w:val="005E2DD2"/>
    <w:rsid w:val="005E398B"/>
    <w:rsid w:val="005E3DF6"/>
    <w:rsid w:val="005E4F7B"/>
    <w:rsid w:val="005E58E2"/>
    <w:rsid w:val="005E5B52"/>
    <w:rsid w:val="005E618D"/>
    <w:rsid w:val="005E62B6"/>
    <w:rsid w:val="005E764C"/>
    <w:rsid w:val="005E76C1"/>
    <w:rsid w:val="005E7786"/>
    <w:rsid w:val="005E7C93"/>
    <w:rsid w:val="005F075C"/>
    <w:rsid w:val="005F196F"/>
    <w:rsid w:val="005F1D10"/>
    <w:rsid w:val="005F22C2"/>
    <w:rsid w:val="005F2B9C"/>
    <w:rsid w:val="005F2F58"/>
    <w:rsid w:val="005F30D5"/>
    <w:rsid w:val="005F3366"/>
    <w:rsid w:val="005F465C"/>
    <w:rsid w:val="005F490E"/>
    <w:rsid w:val="005F537C"/>
    <w:rsid w:val="005F5BCD"/>
    <w:rsid w:val="005F642C"/>
    <w:rsid w:val="005F79F0"/>
    <w:rsid w:val="00602244"/>
    <w:rsid w:val="006026D3"/>
    <w:rsid w:val="006033E4"/>
    <w:rsid w:val="00603CE5"/>
    <w:rsid w:val="00603DC5"/>
    <w:rsid w:val="006042EE"/>
    <w:rsid w:val="00604899"/>
    <w:rsid w:val="00604C08"/>
    <w:rsid w:val="00605603"/>
    <w:rsid w:val="006064A6"/>
    <w:rsid w:val="00606CAC"/>
    <w:rsid w:val="00607434"/>
    <w:rsid w:val="00607579"/>
    <w:rsid w:val="00610557"/>
    <w:rsid w:val="00610985"/>
    <w:rsid w:val="00610C7D"/>
    <w:rsid w:val="00611D40"/>
    <w:rsid w:val="006129FC"/>
    <w:rsid w:val="00613DE6"/>
    <w:rsid w:val="0061593E"/>
    <w:rsid w:val="006163F0"/>
    <w:rsid w:val="006163F8"/>
    <w:rsid w:val="00616C71"/>
    <w:rsid w:val="00616F6B"/>
    <w:rsid w:val="00620E29"/>
    <w:rsid w:val="00620F3C"/>
    <w:rsid w:val="00625A20"/>
    <w:rsid w:val="00627517"/>
    <w:rsid w:val="0063058C"/>
    <w:rsid w:val="00631086"/>
    <w:rsid w:val="006312DB"/>
    <w:rsid w:val="00631C6C"/>
    <w:rsid w:val="00633875"/>
    <w:rsid w:val="00633B53"/>
    <w:rsid w:val="006346B2"/>
    <w:rsid w:val="00634ED3"/>
    <w:rsid w:val="00635522"/>
    <w:rsid w:val="00636384"/>
    <w:rsid w:val="006369FB"/>
    <w:rsid w:val="006407F4"/>
    <w:rsid w:val="00641A08"/>
    <w:rsid w:val="00642681"/>
    <w:rsid w:val="00643D4A"/>
    <w:rsid w:val="006459C8"/>
    <w:rsid w:val="00647462"/>
    <w:rsid w:val="00647AE4"/>
    <w:rsid w:val="006501B5"/>
    <w:rsid w:val="00651392"/>
    <w:rsid w:val="0065354B"/>
    <w:rsid w:val="00654128"/>
    <w:rsid w:val="00654A9C"/>
    <w:rsid w:val="0065683F"/>
    <w:rsid w:val="006615EF"/>
    <w:rsid w:val="00662BAC"/>
    <w:rsid w:val="00662DEB"/>
    <w:rsid w:val="0066370F"/>
    <w:rsid w:val="0066381B"/>
    <w:rsid w:val="00663D78"/>
    <w:rsid w:val="006641B9"/>
    <w:rsid w:val="0066479A"/>
    <w:rsid w:val="00665F93"/>
    <w:rsid w:val="006678E9"/>
    <w:rsid w:val="006703AD"/>
    <w:rsid w:val="00672ABA"/>
    <w:rsid w:val="00672CF2"/>
    <w:rsid w:val="006733F9"/>
    <w:rsid w:val="006744D2"/>
    <w:rsid w:val="00674C5B"/>
    <w:rsid w:val="00674DB9"/>
    <w:rsid w:val="00676402"/>
    <w:rsid w:val="00676A8C"/>
    <w:rsid w:val="00677BC5"/>
    <w:rsid w:val="00677C29"/>
    <w:rsid w:val="006803D7"/>
    <w:rsid w:val="006807C4"/>
    <w:rsid w:val="006815F0"/>
    <w:rsid w:val="00681C96"/>
    <w:rsid w:val="00681F48"/>
    <w:rsid w:val="00683918"/>
    <w:rsid w:val="0068497D"/>
    <w:rsid w:val="00684B61"/>
    <w:rsid w:val="00685ED7"/>
    <w:rsid w:val="006873C7"/>
    <w:rsid w:val="00687832"/>
    <w:rsid w:val="006924A5"/>
    <w:rsid w:val="0069380B"/>
    <w:rsid w:val="0069513A"/>
    <w:rsid w:val="00696079"/>
    <w:rsid w:val="006971B8"/>
    <w:rsid w:val="006973FE"/>
    <w:rsid w:val="00697B4D"/>
    <w:rsid w:val="00697EE8"/>
    <w:rsid w:val="006A0996"/>
    <w:rsid w:val="006A0B5E"/>
    <w:rsid w:val="006A13F7"/>
    <w:rsid w:val="006A1847"/>
    <w:rsid w:val="006A18F0"/>
    <w:rsid w:val="006A246C"/>
    <w:rsid w:val="006A2E65"/>
    <w:rsid w:val="006A49FA"/>
    <w:rsid w:val="006A4A05"/>
    <w:rsid w:val="006A5D0B"/>
    <w:rsid w:val="006A77CA"/>
    <w:rsid w:val="006B09FF"/>
    <w:rsid w:val="006B175E"/>
    <w:rsid w:val="006B1B32"/>
    <w:rsid w:val="006B1B69"/>
    <w:rsid w:val="006B2EC7"/>
    <w:rsid w:val="006B2FF2"/>
    <w:rsid w:val="006B5064"/>
    <w:rsid w:val="006B5A4E"/>
    <w:rsid w:val="006B5B67"/>
    <w:rsid w:val="006B5DB2"/>
    <w:rsid w:val="006B64E7"/>
    <w:rsid w:val="006B7E4D"/>
    <w:rsid w:val="006C008F"/>
    <w:rsid w:val="006C0A0F"/>
    <w:rsid w:val="006C118C"/>
    <w:rsid w:val="006C2189"/>
    <w:rsid w:val="006C2720"/>
    <w:rsid w:val="006C3B94"/>
    <w:rsid w:val="006C44B0"/>
    <w:rsid w:val="006C48B0"/>
    <w:rsid w:val="006C6BD9"/>
    <w:rsid w:val="006C6E47"/>
    <w:rsid w:val="006C6EAE"/>
    <w:rsid w:val="006C7CD5"/>
    <w:rsid w:val="006D18DC"/>
    <w:rsid w:val="006D2663"/>
    <w:rsid w:val="006D268F"/>
    <w:rsid w:val="006D27B2"/>
    <w:rsid w:val="006D27EF"/>
    <w:rsid w:val="006D4410"/>
    <w:rsid w:val="006D53D9"/>
    <w:rsid w:val="006D6B39"/>
    <w:rsid w:val="006E0026"/>
    <w:rsid w:val="006E067F"/>
    <w:rsid w:val="006E08A8"/>
    <w:rsid w:val="006E4AC5"/>
    <w:rsid w:val="006E4C9B"/>
    <w:rsid w:val="006E6F5F"/>
    <w:rsid w:val="006F469A"/>
    <w:rsid w:val="006F5C87"/>
    <w:rsid w:val="006F7104"/>
    <w:rsid w:val="006F7442"/>
    <w:rsid w:val="006F7C20"/>
    <w:rsid w:val="006F7ECD"/>
    <w:rsid w:val="00700004"/>
    <w:rsid w:val="00701501"/>
    <w:rsid w:val="007017B9"/>
    <w:rsid w:val="007019EC"/>
    <w:rsid w:val="00702EF6"/>
    <w:rsid w:val="00703273"/>
    <w:rsid w:val="00703ACC"/>
    <w:rsid w:val="00703B61"/>
    <w:rsid w:val="00704C78"/>
    <w:rsid w:val="00704E6A"/>
    <w:rsid w:val="00705AF6"/>
    <w:rsid w:val="00706756"/>
    <w:rsid w:val="00707D60"/>
    <w:rsid w:val="00707D99"/>
    <w:rsid w:val="00711438"/>
    <w:rsid w:val="00712531"/>
    <w:rsid w:val="00712793"/>
    <w:rsid w:val="00712D97"/>
    <w:rsid w:val="0071394A"/>
    <w:rsid w:val="0071498F"/>
    <w:rsid w:val="00715195"/>
    <w:rsid w:val="00717636"/>
    <w:rsid w:val="00720A1D"/>
    <w:rsid w:val="00720A51"/>
    <w:rsid w:val="00720E10"/>
    <w:rsid w:val="00721760"/>
    <w:rsid w:val="0072180C"/>
    <w:rsid w:val="007221EE"/>
    <w:rsid w:val="00724195"/>
    <w:rsid w:val="0072599B"/>
    <w:rsid w:val="00725A24"/>
    <w:rsid w:val="0072774A"/>
    <w:rsid w:val="00727788"/>
    <w:rsid w:val="0073286D"/>
    <w:rsid w:val="00733E45"/>
    <w:rsid w:val="00734330"/>
    <w:rsid w:val="007346DF"/>
    <w:rsid w:val="00734E25"/>
    <w:rsid w:val="00734F87"/>
    <w:rsid w:val="00736280"/>
    <w:rsid w:val="00736471"/>
    <w:rsid w:val="00737DD1"/>
    <w:rsid w:val="00742073"/>
    <w:rsid w:val="0074316A"/>
    <w:rsid w:val="007439F0"/>
    <w:rsid w:val="00743D58"/>
    <w:rsid w:val="00744AF6"/>
    <w:rsid w:val="0074522A"/>
    <w:rsid w:val="00745465"/>
    <w:rsid w:val="00745CA6"/>
    <w:rsid w:val="007468DC"/>
    <w:rsid w:val="007505EA"/>
    <w:rsid w:val="00750726"/>
    <w:rsid w:val="00750749"/>
    <w:rsid w:val="007507B4"/>
    <w:rsid w:val="007508EB"/>
    <w:rsid w:val="00751CD3"/>
    <w:rsid w:val="00753E74"/>
    <w:rsid w:val="007543F4"/>
    <w:rsid w:val="00755D41"/>
    <w:rsid w:val="00757E33"/>
    <w:rsid w:val="00760D21"/>
    <w:rsid w:val="00761AB7"/>
    <w:rsid w:val="00762264"/>
    <w:rsid w:val="00762678"/>
    <w:rsid w:val="00762AF2"/>
    <w:rsid w:val="007635D0"/>
    <w:rsid w:val="00764042"/>
    <w:rsid w:val="00764DC7"/>
    <w:rsid w:val="00766823"/>
    <w:rsid w:val="00770FA3"/>
    <w:rsid w:val="007714DF"/>
    <w:rsid w:val="0077349E"/>
    <w:rsid w:val="007747B5"/>
    <w:rsid w:val="00774B43"/>
    <w:rsid w:val="007754C0"/>
    <w:rsid w:val="007754D3"/>
    <w:rsid w:val="007764E9"/>
    <w:rsid w:val="007769B4"/>
    <w:rsid w:val="00777520"/>
    <w:rsid w:val="007800B0"/>
    <w:rsid w:val="00780711"/>
    <w:rsid w:val="007811C8"/>
    <w:rsid w:val="00782288"/>
    <w:rsid w:val="00783AE6"/>
    <w:rsid w:val="007840FC"/>
    <w:rsid w:val="007847CA"/>
    <w:rsid w:val="0078656C"/>
    <w:rsid w:val="007869B3"/>
    <w:rsid w:val="00786E81"/>
    <w:rsid w:val="0078761A"/>
    <w:rsid w:val="00787F44"/>
    <w:rsid w:val="00790469"/>
    <w:rsid w:val="00790F8C"/>
    <w:rsid w:val="007926E2"/>
    <w:rsid w:val="007949FB"/>
    <w:rsid w:val="00795362"/>
    <w:rsid w:val="00795E80"/>
    <w:rsid w:val="007975F1"/>
    <w:rsid w:val="0079799B"/>
    <w:rsid w:val="007A112A"/>
    <w:rsid w:val="007A1A81"/>
    <w:rsid w:val="007A243E"/>
    <w:rsid w:val="007A3278"/>
    <w:rsid w:val="007A34B3"/>
    <w:rsid w:val="007A4453"/>
    <w:rsid w:val="007A4FE4"/>
    <w:rsid w:val="007A5B87"/>
    <w:rsid w:val="007A5C73"/>
    <w:rsid w:val="007A6243"/>
    <w:rsid w:val="007A6466"/>
    <w:rsid w:val="007A7B59"/>
    <w:rsid w:val="007B0CD1"/>
    <w:rsid w:val="007B11EC"/>
    <w:rsid w:val="007B365A"/>
    <w:rsid w:val="007B4412"/>
    <w:rsid w:val="007B4EEC"/>
    <w:rsid w:val="007B5309"/>
    <w:rsid w:val="007B5A4F"/>
    <w:rsid w:val="007B5B26"/>
    <w:rsid w:val="007B5EDD"/>
    <w:rsid w:val="007B7E83"/>
    <w:rsid w:val="007C0E41"/>
    <w:rsid w:val="007C1F67"/>
    <w:rsid w:val="007C24B4"/>
    <w:rsid w:val="007C25D5"/>
    <w:rsid w:val="007C3503"/>
    <w:rsid w:val="007C3790"/>
    <w:rsid w:val="007C3A0B"/>
    <w:rsid w:val="007C3BCF"/>
    <w:rsid w:val="007C509C"/>
    <w:rsid w:val="007C627F"/>
    <w:rsid w:val="007C6380"/>
    <w:rsid w:val="007C6D95"/>
    <w:rsid w:val="007C74B7"/>
    <w:rsid w:val="007C78B6"/>
    <w:rsid w:val="007C7E01"/>
    <w:rsid w:val="007D052D"/>
    <w:rsid w:val="007D1016"/>
    <w:rsid w:val="007D1A8E"/>
    <w:rsid w:val="007D1AAD"/>
    <w:rsid w:val="007D1C30"/>
    <w:rsid w:val="007D1FDF"/>
    <w:rsid w:val="007D214D"/>
    <w:rsid w:val="007D23E0"/>
    <w:rsid w:val="007D29C5"/>
    <w:rsid w:val="007D320F"/>
    <w:rsid w:val="007D5157"/>
    <w:rsid w:val="007D548D"/>
    <w:rsid w:val="007D5B54"/>
    <w:rsid w:val="007D625D"/>
    <w:rsid w:val="007D7043"/>
    <w:rsid w:val="007D78C4"/>
    <w:rsid w:val="007E1083"/>
    <w:rsid w:val="007E40B7"/>
    <w:rsid w:val="007E50E5"/>
    <w:rsid w:val="007E5197"/>
    <w:rsid w:val="007E58F7"/>
    <w:rsid w:val="007E5E71"/>
    <w:rsid w:val="007E7484"/>
    <w:rsid w:val="007F1386"/>
    <w:rsid w:val="007F21FC"/>
    <w:rsid w:val="007F2735"/>
    <w:rsid w:val="007F2DA2"/>
    <w:rsid w:val="007F3029"/>
    <w:rsid w:val="007F33FC"/>
    <w:rsid w:val="007F4AE1"/>
    <w:rsid w:val="007F4C79"/>
    <w:rsid w:val="007F50B1"/>
    <w:rsid w:val="007F5DCB"/>
    <w:rsid w:val="007F5E1C"/>
    <w:rsid w:val="007F7851"/>
    <w:rsid w:val="00801291"/>
    <w:rsid w:val="008018BE"/>
    <w:rsid w:val="00803C7B"/>
    <w:rsid w:val="008056DB"/>
    <w:rsid w:val="00805F91"/>
    <w:rsid w:val="008067DA"/>
    <w:rsid w:val="0080771D"/>
    <w:rsid w:val="008104FA"/>
    <w:rsid w:val="008105E9"/>
    <w:rsid w:val="008108AD"/>
    <w:rsid w:val="008129F8"/>
    <w:rsid w:val="00812F15"/>
    <w:rsid w:val="008132AE"/>
    <w:rsid w:val="008138A6"/>
    <w:rsid w:val="008148BE"/>
    <w:rsid w:val="00815BD0"/>
    <w:rsid w:val="00815F98"/>
    <w:rsid w:val="008161DE"/>
    <w:rsid w:val="008167D5"/>
    <w:rsid w:val="008168D3"/>
    <w:rsid w:val="008202DD"/>
    <w:rsid w:val="00821699"/>
    <w:rsid w:val="00821A33"/>
    <w:rsid w:val="00822AFC"/>
    <w:rsid w:val="008245FD"/>
    <w:rsid w:val="0082473E"/>
    <w:rsid w:val="0082702B"/>
    <w:rsid w:val="0082789C"/>
    <w:rsid w:val="00827942"/>
    <w:rsid w:val="00827D71"/>
    <w:rsid w:val="00830653"/>
    <w:rsid w:val="00830AC2"/>
    <w:rsid w:val="00830B23"/>
    <w:rsid w:val="0083125F"/>
    <w:rsid w:val="00831992"/>
    <w:rsid w:val="008340D5"/>
    <w:rsid w:val="008348BD"/>
    <w:rsid w:val="00835419"/>
    <w:rsid w:val="008355B5"/>
    <w:rsid w:val="008376F8"/>
    <w:rsid w:val="008377F3"/>
    <w:rsid w:val="008379BA"/>
    <w:rsid w:val="0084059F"/>
    <w:rsid w:val="0084074B"/>
    <w:rsid w:val="00841833"/>
    <w:rsid w:val="00842505"/>
    <w:rsid w:val="00842779"/>
    <w:rsid w:val="008429CD"/>
    <w:rsid w:val="00843796"/>
    <w:rsid w:val="00844522"/>
    <w:rsid w:val="00844A86"/>
    <w:rsid w:val="00844C52"/>
    <w:rsid w:val="00845C91"/>
    <w:rsid w:val="00846777"/>
    <w:rsid w:val="00847AEC"/>
    <w:rsid w:val="00847E23"/>
    <w:rsid w:val="00847F92"/>
    <w:rsid w:val="00850119"/>
    <w:rsid w:val="008501EA"/>
    <w:rsid w:val="00850CF8"/>
    <w:rsid w:val="00851C4C"/>
    <w:rsid w:val="00852111"/>
    <w:rsid w:val="00852147"/>
    <w:rsid w:val="0085221A"/>
    <w:rsid w:val="00854A5C"/>
    <w:rsid w:val="00854D6E"/>
    <w:rsid w:val="0085619D"/>
    <w:rsid w:val="00856F1D"/>
    <w:rsid w:val="008603F8"/>
    <w:rsid w:val="00860D79"/>
    <w:rsid w:val="008614E0"/>
    <w:rsid w:val="00861A91"/>
    <w:rsid w:val="00862C27"/>
    <w:rsid w:val="008634A1"/>
    <w:rsid w:val="00863C45"/>
    <w:rsid w:val="0086404F"/>
    <w:rsid w:val="00864257"/>
    <w:rsid w:val="00865BE8"/>
    <w:rsid w:val="00866449"/>
    <w:rsid w:val="00867047"/>
    <w:rsid w:val="0087002C"/>
    <w:rsid w:val="00872174"/>
    <w:rsid w:val="008721A3"/>
    <w:rsid w:val="0087335F"/>
    <w:rsid w:val="0087361D"/>
    <w:rsid w:val="00875360"/>
    <w:rsid w:val="00876A6A"/>
    <w:rsid w:val="008802C0"/>
    <w:rsid w:val="00881EC2"/>
    <w:rsid w:val="00882C67"/>
    <w:rsid w:val="00882F5D"/>
    <w:rsid w:val="0088377D"/>
    <w:rsid w:val="0088667B"/>
    <w:rsid w:val="0088671E"/>
    <w:rsid w:val="00887622"/>
    <w:rsid w:val="00887B57"/>
    <w:rsid w:val="00890069"/>
    <w:rsid w:val="00890E5B"/>
    <w:rsid w:val="008917C5"/>
    <w:rsid w:val="008918E4"/>
    <w:rsid w:val="00891908"/>
    <w:rsid w:val="00892245"/>
    <w:rsid w:val="00892380"/>
    <w:rsid w:val="008936EB"/>
    <w:rsid w:val="00893A16"/>
    <w:rsid w:val="00893B74"/>
    <w:rsid w:val="00893CDE"/>
    <w:rsid w:val="00893EAC"/>
    <w:rsid w:val="008946F4"/>
    <w:rsid w:val="0089499C"/>
    <w:rsid w:val="00894CCF"/>
    <w:rsid w:val="00896150"/>
    <w:rsid w:val="00896C38"/>
    <w:rsid w:val="008975F5"/>
    <w:rsid w:val="008976C8"/>
    <w:rsid w:val="00897D9E"/>
    <w:rsid w:val="008A0693"/>
    <w:rsid w:val="008A08F3"/>
    <w:rsid w:val="008A1900"/>
    <w:rsid w:val="008A2078"/>
    <w:rsid w:val="008A3411"/>
    <w:rsid w:val="008A415B"/>
    <w:rsid w:val="008A4CB3"/>
    <w:rsid w:val="008A68E3"/>
    <w:rsid w:val="008A7211"/>
    <w:rsid w:val="008A7ADC"/>
    <w:rsid w:val="008A7DA7"/>
    <w:rsid w:val="008B0147"/>
    <w:rsid w:val="008B02D7"/>
    <w:rsid w:val="008B1066"/>
    <w:rsid w:val="008B2305"/>
    <w:rsid w:val="008B3289"/>
    <w:rsid w:val="008B37C5"/>
    <w:rsid w:val="008B470E"/>
    <w:rsid w:val="008B4942"/>
    <w:rsid w:val="008B4AFA"/>
    <w:rsid w:val="008B4FEE"/>
    <w:rsid w:val="008B5527"/>
    <w:rsid w:val="008B6B4B"/>
    <w:rsid w:val="008B6BCF"/>
    <w:rsid w:val="008B7039"/>
    <w:rsid w:val="008C06E0"/>
    <w:rsid w:val="008C0E36"/>
    <w:rsid w:val="008C0FCF"/>
    <w:rsid w:val="008C104F"/>
    <w:rsid w:val="008C1097"/>
    <w:rsid w:val="008C195B"/>
    <w:rsid w:val="008C24BD"/>
    <w:rsid w:val="008C37F2"/>
    <w:rsid w:val="008C4A1E"/>
    <w:rsid w:val="008C4E84"/>
    <w:rsid w:val="008C53D7"/>
    <w:rsid w:val="008C6431"/>
    <w:rsid w:val="008C6495"/>
    <w:rsid w:val="008C6D66"/>
    <w:rsid w:val="008C72CA"/>
    <w:rsid w:val="008C7578"/>
    <w:rsid w:val="008C7CA6"/>
    <w:rsid w:val="008D19A4"/>
    <w:rsid w:val="008D1DE1"/>
    <w:rsid w:val="008D26BC"/>
    <w:rsid w:val="008D2AB4"/>
    <w:rsid w:val="008D2B91"/>
    <w:rsid w:val="008D339A"/>
    <w:rsid w:val="008D3904"/>
    <w:rsid w:val="008D3D83"/>
    <w:rsid w:val="008D49C1"/>
    <w:rsid w:val="008D5880"/>
    <w:rsid w:val="008D66B8"/>
    <w:rsid w:val="008D6AB3"/>
    <w:rsid w:val="008E0AAF"/>
    <w:rsid w:val="008E0D2E"/>
    <w:rsid w:val="008E10C9"/>
    <w:rsid w:val="008E16AF"/>
    <w:rsid w:val="008E40E6"/>
    <w:rsid w:val="008E453F"/>
    <w:rsid w:val="008E586F"/>
    <w:rsid w:val="008E672A"/>
    <w:rsid w:val="008E7850"/>
    <w:rsid w:val="008E7F80"/>
    <w:rsid w:val="008F0427"/>
    <w:rsid w:val="008F05CD"/>
    <w:rsid w:val="008F13D4"/>
    <w:rsid w:val="008F1614"/>
    <w:rsid w:val="008F1EA6"/>
    <w:rsid w:val="008F26ED"/>
    <w:rsid w:val="008F2B36"/>
    <w:rsid w:val="008F2F93"/>
    <w:rsid w:val="008F438A"/>
    <w:rsid w:val="008F43B5"/>
    <w:rsid w:val="008F5F88"/>
    <w:rsid w:val="008F7031"/>
    <w:rsid w:val="008F7CCA"/>
    <w:rsid w:val="008F7E5F"/>
    <w:rsid w:val="0090012C"/>
    <w:rsid w:val="0090017C"/>
    <w:rsid w:val="00900E94"/>
    <w:rsid w:val="00900F0B"/>
    <w:rsid w:val="00901EFF"/>
    <w:rsid w:val="009032B6"/>
    <w:rsid w:val="009038AB"/>
    <w:rsid w:val="00903DB9"/>
    <w:rsid w:val="009055AF"/>
    <w:rsid w:val="00905B4A"/>
    <w:rsid w:val="00906209"/>
    <w:rsid w:val="0090651B"/>
    <w:rsid w:val="009068BB"/>
    <w:rsid w:val="00907338"/>
    <w:rsid w:val="009101EA"/>
    <w:rsid w:val="00911651"/>
    <w:rsid w:val="00911CE5"/>
    <w:rsid w:val="00912739"/>
    <w:rsid w:val="00914D5A"/>
    <w:rsid w:val="00914D93"/>
    <w:rsid w:val="00915EAC"/>
    <w:rsid w:val="0091708F"/>
    <w:rsid w:val="00917D6F"/>
    <w:rsid w:val="00917E49"/>
    <w:rsid w:val="00921643"/>
    <w:rsid w:val="009230C9"/>
    <w:rsid w:val="00923CC7"/>
    <w:rsid w:val="009257E6"/>
    <w:rsid w:val="00925CFC"/>
    <w:rsid w:val="00926083"/>
    <w:rsid w:val="00926367"/>
    <w:rsid w:val="00926BE0"/>
    <w:rsid w:val="009275E3"/>
    <w:rsid w:val="009301FC"/>
    <w:rsid w:val="00930B0A"/>
    <w:rsid w:val="00930CC4"/>
    <w:rsid w:val="00930CD6"/>
    <w:rsid w:val="00933B88"/>
    <w:rsid w:val="00934084"/>
    <w:rsid w:val="0093435E"/>
    <w:rsid w:val="00934A9E"/>
    <w:rsid w:val="0093662B"/>
    <w:rsid w:val="00937B51"/>
    <w:rsid w:val="00942148"/>
    <w:rsid w:val="0094343D"/>
    <w:rsid w:val="009440ED"/>
    <w:rsid w:val="00944A9E"/>
    <w:rsid w:val="00944F41"/>
    <w:rsid w:val="00945304"/>
    <w:rsid w:val="009457E5"/>
    <w:rsid w:val="009474B1"/>
    <w:rsid w:val="009500BE"/>
    <w:rsid w:val="00950192"/>
    <w:rsid w:val="0095068B"/>
    <w:rsid w:val="00952C74"/>
    <w:rsid w:val="009530AE"/>
    <w:rsid w:val="009565DF"/>
    <w:rsid w:val="009569CF"/>
    <w:rsid w:val="009570FC"/>
    <w:rsid w:val="00960636"/>
    <w:rsid w:val="00960791"/>
    <w:rsid w:val="00960C8C"/>
    <w:rsid w:val="009616D7"/>
    <w:rsid w:val="00962D92"/>
    <w:rsid w:val="00962FD7"/>
    <w:rsid w:val="009630F9"/>
    <w:rsid w:val="00963B3E"/>
    <w:rsid w:val="00966658"/>
    <w:rsid w:val="0096726E"/>
    <w:rsid w:val="0097057C"/>
    <w:rsid w:val="0097097C"/>
    <w:rsid w:val="0097242A"/>
    <w:rsid w:val="00972FBD"/>
    <w:rsid w:val="00973592"/>
    <w:rsid w:val="00974796"/>
    <w:rsid w:val="00975D8C"/>
    <w:rsid w:val="00975F57"/>
    <w:rsid w:val="0097633A"/>
    <w:rsid w:val="00976884"/>
    <w:rsid w:val="00976916"/>
    <w:rsid w:val="0097704E"/>
    <w:rsid w:val="00977974"/>
    <w:rsid w:val="009807F6"/>
    <w:rsid w:val="00981546"/>
    <w:rsid w:val="009821F3"/>
    <w:rsid w:val="0098422B"/>
    <w:rsid w:val="009850DF"/>
    <w:rsid w:val="00985E43"/>
    <w:rsid w:val="00985F23"/>
    <w:rsid w:val="009903D8"/>
    <w:rsid w:val="00990F82"/>
    <w:rsid w:val="009915C3"/>
    <w:rsid w:val="00991D7D"/>
    <w:rsid w:val="00992B82"/>
    <w:rsid w:val="0099392C"/>
    <w:rsid w:val="00993C09"/>
    <w:rsid w:val="00994ADB"/>
    <w:rsid w:val="009950FB"/>
    <w:rsid w:val="00995725"/>
    <w:rsid w:val="009969DB"/>
    <w:rsid w:val="009974F7"/>
    <w:rsid w:val="009A0521"/>
    <w:rsid w:val="009A1410"/>
    <w:rsid w:val="009A1964"/>
    <w:rsid w:val="009A1AB8"/>
    <w:rsid w:val="009A1E10"/>
    <w:rsid w:val="009A2915"/>
    <w:rsid w:val="009A2BDF"/>
    <w:rsid w:val="009A3526"/>
    <w:rsid w:val="009A3CF0"/>
    <w:rsid w:val="009A3D9D"/>
    <w:rsid w:val="009A44F4"/>
    <w:rsid w:val="009A5544"/>
    <w:rsid w:val="009A5DB9"/>
    <w:rsid w:val="009A63B6"/>
    <w:rsid w:val="009A7528"/>
    <w:rsid w:val="009A7DCA"/>
    <w:rsid w:val="009B0D34"/>
    <w:rsid w:val="009B24BF"/>
    <w:rsid w:val="009B2C0E"/>
    <w:rsid w:val="009B4902"/>
    <w:rsid w:val="009B5B07"/>
    <w:rsid w:val="009B675B"/>
    <w:rsid w:val="009B6777"/>
    <w:rsid w:val="009B6A1D"/>
    <w:rsid w:val="009B6CA8"/>
    <w:rsid w:val="009B74D2"/>
    <w:rsid w:val="009C1384"/>
    <w:rsid w:val="009C63DF"/>
    <w:rsid w:val="009C7053"/>
    <w:rsid w:val="009D0ABA"/>
    <w:rsid w:val="009D0C1E"/>
    <w:rsid w:val="009D357C"/>
    <w:rsid w:val="009D4B6E"/>
    <w:rsid w:val="009D68EC"/>
    <w:rsid w:val="009D6B5E"/>
    <w:rsid w:val="009D7241"/>
    <w:rsid w:val="009D7EB4"/>
    <w:rsid w:val="009E03B4"/>
    <w:rsid w:val="009E0487"/>
    <w:rsid w:val="009E193B"/>
    <w:rsid w:val="009E28FE"/>
    <w:rsid w:val="009E2AA5"/>
    <w:rsid w:val="009E31CD"/>
    <w:rsid w:val="009E3B1F"/>
    <w:rsid w:val="009E573B"/>
    <w:rsid w:val="009E5CE4"/>
    <w:rsid w:val="009E66F3"/>
    <w:rsid w:val="009F0040"/>
    <w:rsid w:val="009F0430"/>
    <w:rsid w:val="009F0DB2"/>
    <w:rsid w:val="009F1E55"/>
    <w:rsid w:val="009F38AD"/>
    <w:rsid w:val="009F52BE"/>
    <w:rsid w:val="009F6182"/>
    <w:rsid w:val="009F68E5"/>
    <w:rsid w:val="009F6973"/>
    <w:rsid w:val="009F7FAE"/>
    <w:rsid w:val="00A004CC"/>
    <w:rsid w:val="00A00B4D"/>
    <w:rsid w:val="00A0182E"/>
    <w:rsid w:val="00A01931"/>
    <w:rsid w:val="00A01CAA"/>
    <w:rsid w:val="00A058CC"/>
    <w:rsid w:val="00A05FB6"/>
    <w:rsid w:val="00A069C7"/>
    <w:rsid w:val="00A071D5"/>
    <w:rsid w:val="00A07303"/>
    <w:rsid w:val="00A07921"/>
    <w:rsid w:val="00A11224"/>
    <w:rsid w:val="00A11B00"/>
    <w:rsid w:val="00A12371"/>
    <w:rsid w:val="00A12F89"/>
    <w:rsid w:val="00A130E7"/>
    <w:rsid w:val="00A136D5"/>
    <w:rsid w:val="00A14B88"/>
    <w:rsid w:val="00A15928"/>
    <w:rsid w:val="00A16081"/>
    <w:rsid w:val="00A17BB2"/>
    <w:rsid w:val="00A2048C"/>
    <w:rsid w:val="00A20E7F"/>
    <w:rsid w:val="00A2222C"/>
    <w:rsid w:val="00A22410"/>
    <w:rsid w:val="00A22BD1"/>
    <w:rsid w:val="00A23A85"/>
    <w:rsid w:val="00A24610"/>
    <w:rsid w:val="00A25909"/>
    <w:rsid w:val="00A26D1B"/>
    <w:rsid w:val="00A304B8"/>
    <w:rsid w:val="00A30CCF"/>
    <w:rsid w:val="00A320DA"/>
    <w:rsid w:val="00A321CF"/>
    <w:rsid w:val="00A324E9"/>
    <w:rsid w:val="00A329BA"/>
    <w:rsid w:val="00A3335B"/>
    <w:rsid w:val="00A3335F"/>
    <w:rsid w:val="00A345EC"/>
    <w:rsid w:val="00A362CD"/>
    <w:rsid w:val="00A363D5"/>
    <w:rsid w:val="00A40463"/>
    <w:rsid w:val="00A40475"/>
    <w:rsid w:val="00A40794"/>
    <w:rsid w:val="00A4120F"/>
    <w:rsid w:val="00A414AB"/>
    <w:rsid w:val="00A425A1"/>
    <w:rsid w:val="00A42C53"/>
    <w:rsid w:val="00A434CA"/>
    <w:rsid w:val="00A44388"/>
    <w:rsid w:val="00A44EF6"/>
    <w:rsid w:val="00A46282"/>
    <w:rsid w:val="00A5026E"/>
    <w:rsid w:val="00A516B8"/>
    <w:rsid w:val="00A51A53"/>
    <w:rsid w:val="00A52069"/>
    <w:rsid w:val="00A52195"/>
    <w:rsid w:val="00A52327"/>
    <w:rsid w:val="00A52692"/>
    <w:rsid w:val="00A52A74"/>
    <w:rsid w:val="00A52C20"/>
    <w:rsid w:val="00A52C3F"/>
    <w:rsid w:val="00A52E5B"/>
    <w:rsid w:val="00A52FE0"/>
    <w:rsid w:val="00A53AEA"/>
    <w:rsid w:val="00A53F81"/>
    <w:rsid w:val="00A54566"/>
    <w:rsid w:val="00A561ED"/>
    <w:rsid w:val="00A5642D"/>
    <w:rsid w:val="00A56C87"/>
    <w:rsid w:val="00A5713F"/>
    <w:rsid w:val="00A605F0"/>
    <w:rsid w:val="00A605F3"/>
    <w:rsid w:val="00A60FDB"/>
    <w:rsid w:val="00A6151E"/>
    <w:rsid w:val="00A62087"/>
    <w:rsid w:val="00A628D7"/>
    <w:rsid w:val="00A62BC4"/>
    <w:rsid w:val="00A63246"/>
    <w:rsid w:val="00A63371"/>
    <w:rsid w:val="00A63470"/>
    <w:rsid w:val="00A64752"/>
    <w:rsid w:val="00A6495F"/>
    <w:rsid w:val="00A6648C"/>
    <w:rsid w:val="00A679A7"/>
    <w:rsid w:val="00A67FA2"/>
    <w:rsid w:val="00A714C8"/>
    <w:rsid w:val="00A71BF3"/>
    <w:rsid w:val="00A71D3E"/>
    <w:rsid w:val="00A720C8"/>
    <w:rsid w:val="00A74079"/>
    <w:rsid w:val="00A75EC7"/>
    <w:rsid w:val="00A76C64"/>
    <w:rsid w:val="00A778FF"/>
    <w:rsid w:val="00A80A35"/>
    <w:rsid w:val="00A80A91"/>
    <w:rsid w:val="00A81241"/>
    <w:rsid w:val="00A817F1"/>
    <w:rsid w:val="00A827F6"/>
    <w:rsid w:val="00A82AE7"/>
    <w:rsid w:val="00A835A0"/>
    <w:rsid w:val="00A85555"/>
    <w:rsid w:val="00A90400"/>
    <w:rsid w:val="00A92581"/>
    <w:rsid w:val="00A945CE"/>
    <w:rsid w:val="00A94F72"/>
    <w:rsid w:val="00A9559D"/>
    <w:rsid w:val="00A95706"/>
    <w:rsid w:val="00A97269"/>
    <w:rsid w:val="00A97FF9"/>
    <w:rsid w:val="00AA146F"/>
    <w:rsid w:val="00AA1859"/>
    <w:rsid w:val="00AA2610"/>
    <w:rsid w:val="00AA28DE"/>
    <w:rsid w:val="00AA2D99"/>
    <w:rsid w:val="00AA37D5"/>
    <w:rsid w:val="00AA3F46"/>
    <w:rsid w:val="00AA5C1E"/>
    <w:rsid w:val="00AA5C69"/>
    <w:rsid w:val="00AA6DB2"/>
    <w:rsid w:val="00AA715A"/>
    <w:rsid w:val="00AA74DD"/>
    <w:rsid w:val="00AA74EC"/>
    <w:rsid w:val="00AA7E6E"/>
    <w:rsid w:val="00AB042B"/>
    <w:rsid w:val="00AB0649"/>
    <w:rsid w:val="00AB132E"/>
    <w:rsid w:val="00AB14CA"/>
    <w:rsid w:val="00AB27F3"/>
    <w:rsid w:val="00AB2897"/>
    <w:rsid w:val="00AB3038"/>
    <w:rsid w:val="00AB35E2"/>
    <w:rsid w:val="00AB3E08"/>
    <w:rsid w:val="00AB4237"/>
    <w:rsid w:val="00AB4EB4"/>
    <w:rsid w:val="00AB4F8A"/>
    <w:rsid w:val="00AB707D"/>
    <w:rsid w:val="00AB78B6"/>
    <w:rsid w:val="00AC0D69"/>
    <w:rsid w:val="00AC0F40"/>
    <w:rsid w:val="00AC2763"/>
    <w:rsid w:val="00AC2F2B"/>
    <w:rsid w:val="00AC3637"/>
    <w:rsid w:val="00AC3855"/>
    <w:rsid w:val="00AC3FDE"/>
    <w:rsid w:val="00AC51E2"/>
    <w:rsid w:val="00AC549B"/>
    <w:rsid w:val="00AC58A2"/>
    <w:rsid w:val="00AC751C"/>
    <w:rsid w:val="00AC7957"/>
    <w:rsid w:val="00AC7ADF"/>
    <w:rsid w:val="00AD1067"/>
    <w:rsid w:val="00AD2738"/>
    <w:rsid w:val="00AD2782"/>
    <w:rsid w:val="00AD2B13"/>
    <w:rsid w:val="00AD3598"/>
    <w:rsid w:val="00AD4440"/>
    <w:rsid w:val="00AD48C0"/>
    <w:rsid w:val="00AD4E25"/>
    <w:rsid w:val="00AD5705"/>
    <w:rsid w:val="00AD57C7"/>
    <w:rsid w:val="00AD5BDF"/>
    <w:rsid w:val="00AD662E"/>
    <w:rsid w:val="00AD707F"/>
    <w:rsid w:val="00AD7449"/>
    <w:rsid w:val="00AD755B"/>
    <w:rsid w:val="00AE039A"/>
    <w:rsid w:val="00AE0F59"/>
    <w:rsid w:val="00AE20CC"/>
    <w:rsid w:val="00AE2CBB"/>
    <w:rsid w:val="00AE2E66"/>
    <w:rsid w:val="00AE3122"/>
    <w:rsid w:val="00AE3852"/>
    <w:rsid w:val="00AE39D0"/>
    <w:rsid w:val="00AE4B4F"/>
    <w:rsid w:val="00AE54F1"/>
    <w:rsid w:val="00AE5D1D"/>
    <w:rsid w:val="00AE6579"/>
    <w:rsid w:val="00AE68C8"/>
    <w:rsid w:val="00AE6E25"/>
    <w:rsid w:val="00AE76A9"/>
    <w:rsid w:val="00AE772C"/>
    <w:rsid w:val="00AE7DD8"/>
    <w:rsid w:val="00AF06D1"/>
    <w:rsid w:val="00AF1071"/>
    <w:rsid w:val="00AF1255"/>
    <w:rsid w:val="00AF15E0"/>
    <w:rsid w:val="00AF183D"/>
    <w:rsid w:val="00AF2F38"/>
    <w:rsid w:val="00AF4274"/>
    <w:rsid w:val="00AF448F"/>
    <w:rsid w:val="00AF752F"/>
    <w:rsid w:val="00B0011E"/>
    <w:rsid w:val="00B002A7"/>
    <w:rsid w:val="00B0031B"/>
    <w:rsid w:val="00B0071A"/>
    <w:rsid w:val="00B00EFF"/>
    <w:rsid w:val="00B00FB3"/>
    <w:rsid w:val="00B011C5"/>
    <w:rsid w:val="00B018E9"/>
    <w:rsid w:val="00B01CC2"/>
    <w:rsid w:val="00B032D5"/>
    <w:rsid w:val="00B0361D"/>
    <w:rsid w:val="00B06F22"/>
    <w:rsid w:val="00B0785C"/>
    <w:rsid w:val="00B0787C"/>
    <w:rsid w:val="00B1179C"/>
    <w:rsid w:val="00B1292A"/>
    <w:rsid w:val="00B12ADA"/>
    <w:rsid w:val="00B133AF"/>
    <w:rsid w:val="00B13AD9"/>
    <w:rsid w:val="00B13BE6"/>
    <w:rsid w:val="00B14931"/>
    <w:rsid w:val="00B1658C"/>
    <w:rsid w:val="00B1659B"/>
    <w:rsid w:val="00B166AF"/>
    <w:rsid w:val="00B16D55"/>
    <w:rsid w:val="00B200E2"/>
    <w:rsid w:val="00B20448"/>
    <w:rsid w:val="00B218E0"/>
    <w:rsid w:val="00B22466"/>
    <w:rsid w:val="00B22903"/>
    <w:rsid w:val="00B22BBE"/>
    <w:rsid w:val="00B23463"/>
    <w:rsid w:val="00B26639"/>
    <w:rsid w:val="00B27894"/>
    <w:rsid w:val="00B30B57"/>
    <w:rsid w:val="00B32387"/>
    <w:rsid w:val="00B32A29"/>
    <w:rsid w:val="00B33133"/>
    <w:rsid w:val="00B33682"/>
    <w:rsid w:val="00B367C6"/>
    <w:rsid w:val="00B36A38"/>
    <w:rsid w:val="00B379AC"/>
    <w:rsid w:val="00B40134"/>
    <w:rsid w:val="00B408FB"/>
    <w:rsid w:val="00B41171"/>
    <w:rsid w:val="00B41725"/>
    <w:rsid w:val="00B4333E"/>
    <w:rsid w:val="00B436BF"/>
    <w:rsid w:val="00B43B7D"/>
    <w:rsid w:val="00B447F2"/>
    <w:rsid w:val="00B46178"/>
    <w:rsid w:val="00B462C6"/>
    <w:rsid w:val="00B46553"/>
    <w:rsid w:val="00B46833"/>
    <w:rsid w:val="00B50FED"/>
    <w:rsid w:val="00B518E6"/>
    <w:rsid w:val="00B52435"/>
    <w:rsid w:val="00B550CE"/>
    <w:rsid w:val="00B55191"/>
    <w:rsid w:val="00B551B3"/>
    <w:rsid w:val="00B561A9"/>
    <w:rsid w:val="00B572D6"/>
    <w:rsid w:val="00B60034"/>
    <w:rsid w:val="00B60EEC"/>
    <w:rsid w:val="00B61D4F"/>
    <w:rsid w:val="00B62F62"/>
    <w:rsid w:val="00B63AEF"/>
    <w:rsid w:val="00B6596A"/>
    <w:rsid w:val="00B677E2"/>
    <w:rsid w:val="00B71416"/>
    <w:rsid w:val="00B7143F"/>
    <w:rsid w:val="00B72242"/>
    <w:rsid w:val="00B73C5E"/>
    <w:rsid w:val="00B740EE"/>
    <w:rsid w:val="00B7462D"/>
    <w:rsid w:val="00B74B7A"/>
    <w:rsid w:val="00B74C5B"/>
    <w:rsid w:val="00B756E6"/>
    <w:rsid w:val="00B7570F"/>
    <w:rsid w:val="00B76B49"/>
    <w:rsid w:val="00B76CD5"/>
    <w:rsid w:val="00B77BD8"/>
    <w:rsid w:val="00B8108F"/>
    <w:rsid w:val="00B81C8B"/>
    <w:rsid w:val="00B836DA"/>
    <w:rsid w:val="00B83CC8"/>
    <w:rsid w:val="00B84406"/>
    <w:rsid w:val="00B8440A"/>
    <w:rsid w:val="00B84A61"/>
    <w:rsid w:val="00B8531B"/>
    <w:rsid w:val="00B8580A"/>
    <w:rsid w:val="00B858AF"/>
    <w:rsid w:val="00B866DF"/>
    <w:rsid w:val="00B86E13"/>
    <w:rsid w:val="00B8709D"/>
    <w:rsid w:val="00B907E8"/>
    <w:rsid w:val="00B91082"/>
    <w:rsid w:val="00B91D48"/>
    <w:rsid w:val="00B93992"/>
    <w:rsid w:val="00B93CA6"/>
    <w:rsid w:val="00B9485C"/>
    <w:rsid w:val="00B97A96"/>
    <w:rsid w:val="00BA0942"/>
    <w:rsid w:val="00BA0CBF"/>
    <w:rsid w:val="00BA19F8"/>
    <w:rsid w:val="00BA2533"/>
    <w:rsid w:val="00BA2D4D"/>
    <w:rsid w:val="00BA3074"/>
    <w:rsid w:val="00BA3A55"/>
    <w:rsid w:val="00BA50DF"/>
    <w:rsid w:val="00BA5553"/>
    <w:rsid w:val="00BA625B"/>
    <w:rsid w:val="00BA6999"/>
    <w:rsid w:val="00BA6A5F"/>
    <w:rsid w:val="00BA6B20"/>
    <w:rsid w:val="00BA765E"/>
    <w:rsid w:val="00BB0BC4"/>
    <w:rsid w:val="00BB1568"/>
    <w:rsid w:val="00BB16E3"/>
    <w:rsid w:val="00BB23DB"/>
    <w:rsid w:val="00BB2BA4"/>
    <w:rsid w:val="00BB31CE"/>
    <w:rsid w:val="00BB3705"/>
    <w:rsid w:val="00BB3D11"/>
    <w:rsid w:val="00BB4BBA"/>
    <w:rsid w:val="00BB4F09"/>
    <w:rsid w:val="00BB5DB8"/>
    <w:rsid w:val="00BB603E"/>
    <w:rsid w:val="00BB6F77"/>
    <w:rsid w:val="00BB7B00"/>
    <w:rsid w:val="00BC2703"/>
    <w:rsid w:val="00BC2E1C"/>
    <w:rsid w:val="00BC4B15"/>
    <w:rsid w:val="00BC5187"/>
    <w:rsid w:val="00BC5CD2"/>
    <w:rsid w:val="00BC6999"/>
    <w:rsid w:val="00BC721A"/>
    <w:rsid w:val="00BC7C1E"/>
    <w:rsid w:val="00BD0636"/>
    <w:rsid w:val="00BD0B29"/>
    <w:rsid w:val="00BD1BF4"/>
    <w:rsid w:val="00BD363A"/>
    <w:rsid w:val="00BD503F"/>
    <w:rsid w:val="00BD5070"/>
    <w:rsid w:val="00BD6EE8"/>
    <w:rsid w:val="00BE07D3"/>
    <w:rsid w:val="00BE2333"/>
    <w:rsid w:val="00BE29A0"/>
    <w:rsid w:val="00BE2B5F"/>
    <w:rsid w:val="00BE31A6"/>
    <w:rsid w:val="00BE45E9"/>
    <w:rsid w:val="00BE57C4"/>
    <w:rsid w:val="00BE6EEF"/>
    <w:rsid w:val="00BE6FEB"/>
    <w:rsid w:val="00BF0130"/>
    <w:rsid w:val="00BF2075"/>
    <w:rsid w:val="00BF2441"/>
    <w:rsid w:val="00BF2E2E"/>
    <w:rsid w:val="00BF31E7"/>
    <w:rsid w:val="00BF402B"/>
    <w:rsid w:val="00BF4232"/>
    <w:rsid w:val="00BF5353"/>
    <w:rsid w:val="00BF6270"/>
    <w:rsid w:val="00BF6AF9"/>
    <w:rsid w:val="00BF6C7C"/>
    <w:rsid w:val="00BF6FD3"/>
    <w:rsid w:val="00BF7916"/>
    <w:rsid w:val="00BF792A"/>
    <w:rsid w:val="00BF7BEB"/>
    <w:rsid w:val="00C00264"/>
    <w:rsid w:val="00C009F0"/>
    <w:rsid w:val="00C00A95"/>
    <w:rsid w:val="00C00FBD"/>
    <w:rsid w:val="00C01182"/>
    <w:rsid w:val="00C01669"/>
    <w:rsid w:val="00C02C11"/>
    <w:rsid w:val="00C030F0"/>
    <w:rsid w:val="00C031BB"/>
    <w:rsid w:val="00C04C3F"/>
    <w:rsid w:val="00C04D5B"/>
    <w:rsid w:val="00C04F7E"/>
    <w:rsid w:val="00C0534E"/>
    <w:rsid w:val="00C05531"/>
    <w:rsid w:val="00C06632"/>
    <w:rsid w:val="00C06D6B"/>
    <w:rsid w:val="00C1083D"/>
    <w:rsid w:val="00C10EB0"/>
    <w:rsid w:val="00C11683"/>
    <w:rsid w:val="00C11E4A"/>
    <w:rsid w:val="00C12949"/>
    <w:rsid w:val="00C12B4E"/>
    <w:rsid w:val="00C12E1F"/>
    <w:rsid w:val="00C13839"/>
    <w:rsid w:val="00C13950"/>
    <w:rsid w:val="00C13BE5"/>
    <w:rsid w:val="00C1600C"/>
    <w:rsid w:val="00C165E8"/>
    <w:rsid w:val="00C16AB6"/>
    <w:rsid w:val="00C1724C"/>
    <w:rsid w:val="00C17EB3"/>
    <w:rsid w:val="00C207EB"/>
    <w:rsid w:val="00C20B7E"/>
    <w:rsid w:val="00C21572"/>
    <w:rsid w:val="00C2183F"/>
    <w:rsid w:val="00C21AF1"/>
    <w:rsid w:val="00C22208"/>
    <w:rsid w:val="00C23B7B"/>
    <w:rsid w:val="00C241A2"/>
    <w:rsid w:val="00C246BA"/>
    <w:rsid w:val="00C249D3"/>
    <w:rsid w:val="00C24D25"/>
    <w:rsid w:val="00C2511F"/>
    <w:rsid w:val="00C252DA"/>
    <w:rsid w:val="00C26B69"/>
    <w:rsid w:val="00C274CF"/>
    <w:rsid w:val="00C27EEB"/>
    <w:rsid w:val="00C31958"/>
    <w:rsid w:val="00C31B5D"/>
    <w:rsid w:val="00C32573"/>
    <w:rsid w:val="00C32DF2"/>
    <w:rsid w:val="00C33EB5"/>
    <w:rsid w:val="00C353E6"/>
    <w:rsid w:val="00C35C7E"/>
    <w:rsid w:val="00C36149"/>
    <w:rsid w:val="00C379D3"/>
    <w:rsid w:val="00C41604"/>
    <w:rsid w:val="00C41DAC"/>
    <w:rsid w:val="00C422DC"/>
    <w:rsid w:val="00C42BDA"/>
    <w:rsid w:val="00C440AE"/>
    <w:rsid w:val="00C44409"/>
    <w:rsid w:val="00C44D3E"/>
    <w:rsid w:val="00C45D9D"/>
    <w:rsid w:val="00C46198"/>
    <w:rsid w:val="00C46232"/>
    <w:rsid w:val="00C46F09"/>
    <w:rsid w:val="00C47726"/>
    <w:rsid w:val="00C502C0"/>
    <w:rsid w:val="00C51652"/>
    <w:rsid w:val="00C528F8"/>
    <w:rsid w:val="00C533C1"/>
    <w:rsid w:val="00C54B47"/>
    <w:rsid w:val="00C57390"/>
    <w:rsid w:val="00C60139"/>
    <w:rsid w:val="00C6198A"/>
    <w:rsid w:val="00C621B8"/>
    <w:rsid w:val="00C62E8C"/>
    <w:rsid w:val="00C63593"/>
    <w:rsid w:val="00C638F8"/>
    <w:rsid w:val="00C63D09"/>
    <w:rsid w:val="00C64F52"/>
    <w:rsid w:val="00C65336"/>
    <w:rsid w:val="00C6594B"/>
    <w:rsid w:val="00C65C4D"/>
    <w:rsid w:val="00C6726E"/>
    <w:rsid w:val="00C70188"/>
    <w:rsid w:val="00C70CE1"/>
    <w:rsid w:val="00C70F76"/>
    <w:rsid w:val="00C722D5"/>
    <w:rsid w:val="00C7230A"/>
    <w:rsid w:val="00C72935"/>
    <w:rsid w:val="00C72D6E"/>
    <w:rsid w:val="00C72E6D"/>
    <w:rsid w:val="00C7502B"/>
    <w:rsid w:val="00C751E5"/>
    <w:rsid w:val="00C75912"/>
    <w:rsid w:val="00C75BB9"/>
    <w:rsid w:val="00C76FD3"/>
    <w:rsid w:val="00C8019A"/>
    <w:rsid w:val="00C80B5E"/>
    <w:rsid w:val="00C8102B"/>
    <w:rsid w:val="00C81260"/>
    <w:rsid w:val="00C82F05"/>
    <w:rsid w:val="00C83110"/>
    <w:rsid w:val="00C83213"/>
    <w:rsid w:val="00C83571"/>
    <w:rsid w:val="00C83D90"/>
    <w:rsid w:val="00C85360"/>
    <w:rsid w:val="00C86D1C"/>
    <w:rsid w:val="00C8731B"/>
    <w:rsid w:val="00C92FA6"/>
    <w:rsid w:val="00C94399"/>
    <w:rsid w:val="00C95983"/>
    <w:rsid w:val="00C962E3"/>
    <w:rsid w:val="00C968D5"/>
    <w:rsid w:val="00C97582"/>
    <w:rsid w:val="00C97AC0"/>
    <w:rsid w:val="00C97B9C"/>
    <w:rsid w:val="00C97BE5"/>
    <w:rsid w:val="00C97DDE"/>
    <w:rsid w:val="00CA0A15"/>
    <w:rsid w:val="00CA286B"/>
    <w:rsid w:val="00CA2BD7"/>
    <w:rsid w:val="00CA2D94"/>
    <w:rsid w:val="00CA3D3B"/>
    <w:rsid w:val="00CA41A5"/>
    <w:rsid w:val="00CA4E6E"/>
    <w:rsid w:val="00CA5581"/>
    <w:rsid w:val="00CA6524"/>
    <w:rsid w:val="00CA7645"/>
    <w:rsid w:val="00CA791C"/>
    <w:rsid w:val="00CB093A"/>
    <w:rsid w:val="00CB128F"/>
    <w:rsid w:val="00CB14E5"/>
    <w:rsid w:val="00CB17F6"/>
    <w:rsid w:val="00CB2BE0"/>
    <w:rsid w:val="00CB49C2"/>
    <w:rsid w:val="00CB5AC0"/>
    <w:rsid w:val="00CB5DA6"/>
    <w:rsid w:val="00CB5EA2"/>
    <w:rsid w:val="00CB62D8"/>
    <w:rsid w:val="00CC1242"/>
    <w:rsid w:val="00CC13C0"/>
    <w:rsid w:val="00CC326B"/>
    <w:rsid w:val="00CC34A8"/>
    <w:rsid w:val="00CC451C"/>
    <w:rsid w:val="00CC4B08"/>
    <w:rsid w:val="00CC5773"/>
    <w:rsid w:val="00CC58A1"/>
    <w:rsid w:val="00CC604C"/>
    <w:rsid w:val="00CC6EA0"/>
    <w:rsid w:val="00CC704C"/>
    <w:rsid w:val="00CC7434"/>
    <w:rsid w:val="00CC76CF"/>
    <w:rsid w:val="00CC7AFC"/>
    <w:rsid w:val="00CC7BA3"/>
    <w:rsid w:val="00CD0D79"/>
    <w:rsid w:val="00CD1235"/>
    <w:rsid w:val="00CD1658"/>
    <w:rsid w:val="00CD232A"/>
    <w:rsid w:val="00CD37B8"/>
    <w:rsid w:val="00CD3C70"/>
    <w:rsid w:val="00CD43CB"/>
    <w:rsid w:val="00CD4A31"/>
    <w:rsid w:val="00CD4CA7"/>
    <w:rsid w:val="00CD4D8C"/>
    <w:rsid w:val="00CD4EF3"/>
    <w:rsid w:val="00CD52AB"/>
    <w:rsid w:val="00CD6413"/>
    <w:rsid w:val="00CD779B"/>
    <w:rsid w:val="00CE11D9"/>
    <w:rsid w:val="00CE30A3"/>
    <w:rsid w:val="00CE30E6"/>
    <w:rsid w:val="00CE51DA"/>
    <w:rsid w:val="00CE5685"/>
    <w:rsid w:val="00CE5706"/>
    <w:rsid w:val="00CE5754"/>
    <w:rsid w:val="00CE6DF3"/>
    <w:rsid w:val="00CE7AB9"/>
    <w:rsid w:val="00CE7F4C"/>
    <w:rsid w:val="00CF0010"/>
    <w:rsid w:val="00CF139B"/>
    <w:rsid w:val="00CF1553"/>
    <w:rsid w:val="00CF19C5"/>
    <w:rsid w:val="00CF3324"/>
    <w:rsid w:val="00CF3B22"/>
    <w:rsid w:val="00CF3EB1"/>
    <w:rsid w:val="00CF4298"/>
    <w:rsid w:val="00CF44D1"/>
    <w:rsid w:val="00CF49DC"/>
    <w:rsid w:val="00CF5014"/>
    <w:rsid w:val="00CF5178"/>
    <w:rsid w:val="00CF551B"/>
    <w:rsid w:val="00CF64DD"/>
    <w:rsid w:val="00CF64E2"/>
    <w:rsid w:val="00CF6F3F"/>
    <w:rsid w:val="00D00D61"/>
    <w:rsid w:val="00D01D45"/>
    <w:rsid w:val="00D02355"/>
    <w:rsid w:val="00D02A53"/>
    <w:rsid w:val="00D02C93"/>
    <w:rsid w:val="00D0316B"/>
    <w:rsid w:val="00D0365B"/>
    <w:rsid w:val="00D059DB"/>
    <w:rsid w:val="00D05E8F"/>
    <w:rsid w:val="00D06780"/>
    <w:rsid w:val="00D07223"/>
    <w:rsid w:val="00D07A37"/>
    <w:rsid w:val="00D10E4B"/>
    <w:rsid w:val="00D113EB"/>
    <w:rsid w:val="00D11A96"/>
    <w:rsid w:val="00D13BCA"/>
    <w:rsid w:val="00D15277"/>
    <w:rsid w:val="00D16039"/>
    <w:rsid w:val="00D16AA5"/>
    <w:rsid w:val="00D17A96"/>
    <w:rsid w:val="00D20B9A"/>
    <w:rsid w:val="00D21FF0"/>
    <w:rsid w:val="00D23F38"/>
    <w:rsid w:val="00D267D1"/>
    <w:rsid w:val="00D26986"/>
    <w:rsid w:val="00D26ADC"/>
    <w:rsid w:val="00D27BB8"/>
    <w:rsid w:val="00D27F80"/>
    <w:rsid w:val="00D27FBB"/>
    <w:rsid w:val="00D31848"/>
    <w:rsid w:val="00D31CFE"/>
    <w:rsid w:val="00D323CB"/>
    <w:rsid w:val="00D324B2"/>
    <w:rsid w:val="00D32F1A"/>
    <w:rsid w:val="00D33B16"/>
    <w:rsid w:val="00D3594C"/>
    <w:rsid w:val="00D3739F"/>
    <w:rsid w:val="00D37BA2"/>
    <w:rsid w:val="00D40EC0"/>
    <w:rsid w:val="00D41DE7"/>
    <w:rsid w:val="00D4299C"/>
    <w:rsid w:val="00D4344F"/>
    <w:rsid w:val="00D43C4B"/>
    <w:rsid w:val="00D44192"/>
    <w:rsid w:val="00D44766"/>
    <w:rsid w:val="00D45476"/>
    <w:rsid w:val="00D46158"/>
    <w:rsid w:val="00D461E6"/>
    <w:rsid w:val="00D46595"/>
    <w:rsid w:val="00D46B1E"/>
    <w:rsid w:val="00D507B7"/>
    <w:rsid w:val="00D51015"/>
    <w:rsid w:val="00D526F4"/>
    <w:rsid w:val="00D529A2"/>
    <w:rsid w:val="00D52E1D"/>
    <w:rsid w:val="00D53909"/>
    <w:rsid w:val="00D53A57"/>
    <w:rsid w:val="00D53C37"/>
    <w:rsid w:val="00D540E4"/>
    <w:rsid w:val="00D544B4"/>
    <w:rsid w:val="00D5526A"/>
    <w:rsid w:val="00D558ED"/>
    <w:rsid w:val="00D570AD"/>
    <w:rsid w:val="00D57493"/>
    <w:rsid w:val="00D5767A"/>
    <w:rsid w:val="00D5779F"/>
    <w:rsid w:val="00D577D9"/>
    <w:rsid w:val="00D57C8D"/>
    <w:rsid w:val="00D6002E"/>
    <w:rsid w:val="00D60060"/>
    <w:rsid w:val="00D61EC8"/>
    <w:rsid w:val="00D62EC5"/>
    <w:rsid w:val="00D6435C"/>
    <w:rsid w:val="00D649E4"/>
    <w:rsid w:val="00D659B1"/>
    <w:rsid w:val="00D65FD8"/>
    <w:rsid w:val="00D664E3"/>
    <w:rsid w:val="00D70129"/>
    <w:rsid w:val="00D7027B"/>
    <w:rsid w:val="00D71166"/>
    <w:rsid w:val="00D713B7"/>
    <w:rsid w:val="00D7164F"/>
    <w:rsid w:val="00D716AD"/>
    <w:rsid w:val="00D7177B"/>
    <w:rsid w:val="00D71C94"/>
    <w:rsid w:val="00D721F6"/>
    <w:rsid w:val="00D748E3"/>
    <w:rsid w:val="00D74992"/>
    <w:rsid w:val="00D74E55"/>
    <w:rsid w:val="00D750A8"/>
    <w:rsid w:val="00D75B52"/>
    <w:rsid w:val="00D80FDA"/>
    <w:rsid w:val="00D81207"/>
    <w:rsid w:val="00D81D6A"/>
    <w:rsid w:val="00D82170"/>
    <w:rsid w:val="00D827AD"/>
    <w:rsid w:val="00D82D97"/>
    <w:rsid w:val="00D831F4"/>
    <w:rsid w:val="00D840D3"/>
    <w:rsid w:val="00D8440F"/>
    <w:rsid w:val="00D85C6F"/>
    <w:rsid w:val="00D867D3"/>
    <w:rsid w:val="00D86B47"/>
    <w:rsid w:val="00D90288"/>
    <w:rsid w:val="00D94AC5"/>
    <w:rsid w:val="00D9556B"/>
    <w:rsid w:val="00D9562D"/>
    <w:rsid w:val="00D95B7A"/>
    <w:rsid w:val="00D968AC"/>
    <w:rsid w:val="00D96CD2"/>
    <w:rsid w:val="00D96DAF"/>
    <w:rsid w:val="00D96F8C"/>
    <w:rsid w:val="00DA103B"/>
    <w:rsid w:val="00DA19F1"/>
    <w:rsid w:val="00DA4164"/>
    <w:rsid w:val="00DA4DB6"/>
    <w:rsid w:val="00DA79FC"/>
    <w:rsid w:val="00DA7F30"/>
    <w:rsid w:val="00DB0BA4"/>
    <w:rsid w:val="00DB10ED"/>
    <w:rsid w:val="00DB168C"/>
    <w:rsid w:val="00DB187E"/>
    <w:rsid w:val="00DB2C94"/>
    <w:rsid w:val="00DB300F"/>
    <w:rsid w:val="00DB37D0"/>
    <w:rsid w:val="00DB565C"/>
    <w:rsid w:val="00DB63C1"/>
    <w:rsid w:val="00DB6807"/>
    <w:rsid w:val="00DB6A25"/>
    <w:rsid w:val="00DC003E"/>
    <w:rsid w:val="00DC0A4D"/>
    <w:rsid w:val="00DC0F32"/>
    <w:rsid w:val="00DC1697"/>
    <w:rsid w:val="00DC16EE"/>
    <w:rsid w:val="00DC2641"/>
    <w:rsid w:val="00DC3533"/>
    <w:rsid w:val="00DC372F"/>
    <w:rsid w:val="00DC4B29"/>
    <w:rsid w:val="00DC4BBA"/>
    <w:rsid w:val="00DC4C40"/>
    <w:rsid w:val="00DC4DF9"/>
    <w:rsid w:val="00DC510D"/>
    <w:rsid w:val="00DC6781"/>
    <w:rsid w:val="00DC68F6"/>
    <w:rsid w:val="00DC6BD8"/>
    <w:rsid w:val="00DC712F"/>
    <w:rsid w:val="00DC71C1"/>
    <w:rsid w:val="00DD0684"/>
    <w:rsid w:val="00DD076C"/>
    <w:rsid w:val="00DD151F"/>
    <w:rsid w:val="00DD15AA"/>
    <w:rsid w:val="00DD2681"/>
    <w:rsid w:val="00DD2B4B"/>
    <w:rsid w:val="00DD51CC"/>
    <w:rsid w:val="00DD6255"/>
    <w:rsid w:val="00DD638D"/>
    <w:rsid w:val="00DE072B"/>
    <w:rsid w:val="00DE106F"/>
    <w:rsid w:val="00DE1C57"/>
    <w:rsid w:val="00DE4667"/>
    <w:rsid w:val="00DE551D"/>
    <w:rsid w:val="00DE6E33"/>
    <w:rsid w:val="00DE7139"/>
    <w:rsid w:val="00DE75CA"/>
    <w:rsid w:val="00DF00F7"/>
    <w:rsid w:val="00DF029E"/>
    <w:rsid w:val="00DF0AFC"/>
    <w:rsid w:val="00DF130A"/>
    <w:rsid w:val="00DF1FC9"/>
    <w:rsid w:val="00DF2A18"/>
    <w:rsid w:val="00DF2B27"/>
    <w:rsid w:val="00DF2F16"/>
    <w:rsid w:val="00DF3F42"/>
    <w:rsid w:val="00DF4078"/>
    <w:rsid w:val="00DF472E"/>
    <w:rsid w:val="00DF5F92"/>
    <w:rsid w:val="00DF6842"/>
    <w:rsid w:val="00DF6D5C"/>
    <w:rsid w:val="00DF76A5"/>
    <w:rsid w:val="00DF7A9F"/>
    <w:rsid w:val="00E00A7D"/>
    <w:rsid w:val="00E00DBC"/>
    <w:rsid w:val="00E00F98"/>
    <w:rsid w:val="00E0121F"/>
    <w:rsid w:val="00E01378"/>
    <w:rsid w:val="00E01B7A"/>
    <w:rsid w:val="00E025C7"/>
    <w:rsid w:val="00E02C4A"/>
    <w:rsid w:val="00E0301C"/>
    <w:rsid w:val="00E04C55"/>
    <w:rsid w:val="00E04D47"/>
    <w:rsid w:val="00E0541F"/>
    <w:rsid w:val="00E05ECD"/>
    <w:rsid w:val="00E06769"/>
    <w:rsid w:val="00E069AB"/>
    <w:rsid w:val="00E079D6"/>
    <w:rsid w:val="00E11029"/>
    <w:rsid w:val="00E111A3"/>
    <w:rsid w:val="00E1305E"/>
    <w:rsid w:val="00E13A73"/>
    <w:rsid w:val="00E13C79"/>
    <w:rsid w:val="00E14B69"/>
    <w:rsid w:val="00E14B85"/>
    <w:rsid w:val="00E14E3B"/>
    <w:rsid w:val="00E1525A"/>
    <w:rsid w:val="00E1544B"/>
    <w:rsid w:val="00E156E6"/>
    <w:rsid w:val="00E15C0E"/>
    <w:rsid w:val="00E1799E"/>
    <w:rsid w:val="00E17DE4"/>
    <w:rsid w:val="00E22A1E"/>
    <w:rsid w:val="00E22A32"/>
    <w:rsid w:val="00E22DCF"/>
    <w:rsid w:val="00E2371B"/>
    <w:rsid w:val="00E24DC3"/>
    <w:rsid w:val="00E2704A"/>
    <w:rsid w:val="00E27CA5"/>
    <w:rsid w:val="00E3005A"/>
    <w:rsid w:val="00E30490"/>
    <w:rsid w:val="00E311BE"/>
    <w:rsid w:val="00E315B5"/>
    <w:rsid w:val="00E31840"/>
    <w:rsid w:val="00E31F88"/>
    <w:rsid w:val="00E326C1"/>
    <w:rsid w:val="00E34561"/>
    <w:rsid w:val="00E352BC"/>
    <w:rsid w:val="00E35DB9"/>
    <w:rsid w:val="00E37EDA"/>
    <w:rsid w:val="00E404DB"/>
    <w:rsid w:val="00E42994"/>
    <w:rsid w:val="00E43BCA"/>
    <w:rsid w:val="00E4540A"/>
    <w:rsid w:val="00E455B5"/>
    <w:rsid w:val="00E4569B"/>
    <w:rsid w:val="00E4577C"/>
    <w:rsid w:val="00E4616C"/>
    <w:rsid w:val="00E4681E"/>
    <w:rsid w:val="00E5142A"/>
    <w:rsid w:val="00E52D58"/>
    <w:rsid w:val="00E53839"/>
    <w:rsid w:val="00E53D23"/>
    <w:rsid w:val="00E5518E"/>
    <w:rsid w:val="00E55460"/>
    <w:rsid w:val="00E55772"/>
    <w:rsid w:val="00E55F90"/>
    <w:rsid w:val="00E5664C"/>
    <w:rsid w:val="00E60B7F"/>
    <w:rsid w:val="00E60EE5"/>
    <w:rsid w:val="00E61493"/>
    <w:rsid w:val="00E619D1"/>
    <w:rsid w:val="00E62520"/>
    <w:rsid w:val="00E629CF"/>
    <w:rsid w:val="00E64016"/>
    <w:rsid w:val="00E64856"/>
    <w:rsid w:val="00E64D0F"/>
    <w:rsid w:val="00E64F31"/>
    <w:rsid w:val="00E65C80"/>
    <w:rsid w:val="00E668B8"/>
    <w:rsid w:val="00E66A89"/>
    <w:rsid w:val="00E67D7E"/>
    <w:rsid w:val="00E7014A"/>
    <w:rsid w:val="00E702BB"/>
    <w:rsid w:val="00E7085B"/>
    <w:rsid w:val="00E70953"/>
    <w:rsid w:val="00E71820"/>
    <w:rsid w:val="00E71BF5"/>
    <w:rsid w:val="00E73010"/>
    <w:rsid w:val="00E74641"/>
    <w:rsid w:val="00E80063"/>
    <w:rsid w:val="00E82A57"/>
    <w:rsid w:val="00E83B0B"/>
    <w:rsid w:val="00E844BE"/>
    <w:rsid w:val="00E8518A"/>
    <w:rsid w:val="00E86414"/>
    <w:rsid w:val="00E8740B"/>
    <w:rsid w:val="00E877EC"/>
    <w:rsid w:val="00E878D5"/>
    <w:rsid w:val="00E905FE"/>
    <w:rsid w:val="00E91627"/>
    <w:rsid w:val="00E920AE"/>
    <w:rsid w:val="00E928F0"/>
    <w:rsid w:val="00E931B8"/>
    <w:rsid w:val="00E948B2"/>
    <w:rsid w:val="00E94D07"/>
    <w:rsid w:val="00EA02A2"/>
    <w:rsid w:val="00EA0A5C"/>
    <w:rsid w:val="00EA0DDB"/>
    <w:rsid w:val="00EA2148"/>
    <w:rsid w:val="00EA24F4"/>
    <w:rsid w:val="00EA28BC"/>
    <w:rsid w:val="00EA36F7"/>
    <w:rsid w:val="00EA3B6C"/>
    <w:rsid w:val="00EA3CC5"/>
    <w:rsid w:val="00EA4570"/>
    <w:rsid w:val="00EA4F9A"/>
    <w:rsid w:val="00EA513D"/>
    <w:rsid w:val="00EA5188"/>
    <w:rsid w:val="00EA646C"/>
    <w:rsid w:val="00EA6837"/>
    <w:rsid w:val="00EA6B25"/>
    <w:rsid w:val="00EA6EBA"/>
    <w:rsid w:val="00EA7412"/>
    <w:rsid w:val="00EB0332"/>
    <w:rsid w:val="00EB0E01"/>
    <w:rsid w:val="00EB1644"/>
    <w:rsid w:val="00EB2D01"/>
    <w:rsid w:val="00EB5789"/>
    <w:rsid w:val="00EB5C75"/>
    <w:rsid w:val="00EB5FC4"/>
    <w:rsid w:val="00EB6134"/>
    <w:rsid w:val="00EB6BDC"/>
    <w:rsid w:val="00EB7526"/>
    <w:rsid w:val="00EB7941"/>
    <w:rsid w:val="00EC0C66"/>
    <w:rsid w:val="00EC48F9"/>
    <w:rsid w:val="00EC4CBD"/>
    <w:rsid w:val="00EC503A"/>
    <w:rsid w:val="00EC5662"/>
    <w:rsid w:val="00EC6279"/>
    <w:rsid w:val="00EC649F"/>
    <w:rsid w:val="00EC722C"/>
    <w:rsid w:val="00EC7F2B"/>
    <w:rsid w:val="00ED1EFF"/>
    <w:rsid w:val="00ED38E9"/>
    <w:rsid w:val="00ED3CAA"/>
    <w:rsid w:val="00ED42CB"/>
    <w:rsid w:val="00ED43EE"/>
    <w:rsid w:val="00ED45CC"/>
    <w:rsid w:val="00ED4792"/>
    <w:rsid w:val="00ED47DB"/>
    <w:rsid w:val="00ED590B"/>
    <w:rsid w:val="00ED621E"/>
    <w:rsid w:val="00ED657F"/>
    <w:rsid w:val="00EE014D"/>
    <w:rsid w:val="00EE0667"/>
    <w:rsid w:val="00EE217B"/>
    <w:rsid w:val="00EE2C26"/>
    <w:rsid w:val="00EE338A"/>
    <w:rsid w:val="00EE4DC3"/>
    <w:rsid w:val="00EE7638"/>
    <w:rsid w:val="00EF124F"/>
    <w:rsid w:val="00EF14AC"/>
    <w:rsid w:val="00EF20C0"/>
    <w:rsid w:val="00EF2D6D"/>
    <w:rsid w:val="00EF3EF3"/>
    <w:rsid w:val="00EF4CBC"/>
    <w:rsid w:val="00EF4F57"/>
    <w:rsid w:val="00EF5D0B"/>
    <w:rsid w:val="00EF633E"/>
    <w:rsid w:val="00EF6B10"/>
    <w:rsid w:val="00EF70EE"/>
    <w:rsid w:val="00EF7195"/>
    <w:rsid w:val="00EF733B"/>
    <w:rsid w:val="00F00913"/>
    <w:rsid w:val="00F00EC7"/>
    <w:rsid w:val="00F01E06"/>
    <w:rsid w:val="00F028BA"/>
    <w:rsid w:val="00F03F2B"/>
    <w:rsid w:val="00F04C9E"/>
    <w:rsid w:val="00F0580B"/>
    <w:rsid w:val="00F06ED5"/>
    <w:rsid w:val="00F10B19"/>
    <w:rsid w:val="00F11241"/>
    <w:rsid w:val="00F1269A"/>
    <w:rsid w:val="00F13203"/>
    <w:rsid w:val="00F1380A"/>
    <w:rsid w:val="00F13BEF"/>
    <w:rsid w:val="00F1515B"/>
    <w:rsid w:val="00F15A00"/>
    <w:rsid w:val="00F16FE9"/>
    <w:rsid w:val="00F17EEB"/>
    <w:rsid w:val="00F20572"/>
    <w:rsid w:val="00F240B7"/>
    <w:rsid w:val="00F24692"/>
    <w:rsid w:val="00F2551F"/>
    <w:rsid w:val="00F256B4"/>
    <w:rsid w:val="00F26281"/>
    <w:rsid w:val="00F26456"/>
    <w:rsid w:val="00F26C2D"/>
    <w:rsid w:val="00F27063"/>
    <w:rsid w:val="00F3098E"/>
    <w:rsid w:val="00F3178D"/>
    <w:rsid w:val="00F32668"/>
    <w:rsid w:val="00F32B87"/>
    <w:rsid w:val="00F32EF7"/>
    <w:rsid w:val="00F346D1"/>
    <w:rsid w:val="00F3543E"/>
    <w:rsid w:val="00F36E46"/>
    <w:rsid w:val="00F4068F"/>
    <w:rsid w:val="00F40743"/>
    <w:rsid w:val="00F40C69"/>
    <w:rsid w:val="00F40EDF"/>
    <w:rsid w:val="00F41B41"/>
    <w:rsid w:val="00F42F0B"/>
    <w:rsid w:val="00F43033"/>
    <w:rsid w:val="00F44BBA"/>
    <w:rsid w:val="00F44DEF"/>
    <w:rsid w:val="00F45FFF"/>
    <w:rsid w:val="00F46A62"/>
    <w:rsid w:val="00F46AFA"/>
    <w:rsid w:val="00F47C8B"/>
    <w:rsid w:val="00F506D4"/>
    <w:rsid w:val="00F50E20"/>
    <w:rsid w:val="00F51DEE"/>
    <w:rsid w:val="00F52988"/>
    <w:rsid w:val="00F52D4B"/>
    <w:rsid w:val="00F52E6F"/>
    <w:rsid w:val="00F54AB6"/>
    <w:rsid w:val="00F5730C"/>
    <w:rsid w:val="00F6070C"/>
    <w:rsid w:val="00F60773"/>
    <w:rsid w:val="00F61532"/>
    <w:rsid w:val="00F61D6B"/>
    <w:rsid w:val="00F61E92"/>
    <w:rsid w:val="00F6439B"/>
    <w:rsid w:val="00F643D4"/>
    <w:rsid w:val="00F6584F"/>
    <w:rsid w:val="00F658D1"/>
    <w:rsid w:val="00F65D3E"/>
    <w:rsid w:val="00F66253"/>
    <w:rsid w:val="00F66BA7"/>
    <w:rsid w:val="00F67736"/>
    <w:rsid w:val="00F70DBA"/>
    <w:rsid w:val="00F70EE3"/>
    <w:rsid w:val="00F7158E"/>
    <w:rsid w:val="00F71C93"/>
    <w:rsid w:val="00F72F29"/>
    <w:rsid w:val="00F744CE"/>
    <w:rsid w:val="00F7617E"/>
    <w:rsid w:val="00F77D7B"/>
    <w:rsid w:val="00F77F08"/>
    <w:rsid w:val="00F801FA"/>
    <w:rsid w:val="00F81D23"/>
    <w:rsid w:val="00F82A32"/>
    <w:rsid w:val="00F8417A"/>
    <w:rsid w:val="00F845F1"/>
    <w:rsid w:val="00F8552F"/>
    <w:rsid w:val="00F85967"/>
    <w:rsid w:val="00F863B9"/>
    <w:rsid w:val="00F865B3"/>
    <w:rsid w:val="00F86620"/>
    <w:rsid w:val="00F8691D"/>
    <w:rsid w:val="00F8722D"/>
    <w:rsid w:val="00F87881"/>
    <w:rsid w:val="00F87929"/>
    <w:rsid w:val="00F91A7D"/>
    <w:rsid w:val="00F929EA"/>
    <w:rsid w:val="00F934D1"/>
    <w:rsid w:val="00F942B3"/>
    <w:rsid w:val="00F94994"/>
    <w:rsid w:val="00F95CFB"/>
    <w:rsid w:val="00F96A7D"/>
    <w:rsid w:val="00F96E97"/>
    <w:rsid w:val="00F97CDA"/>
    <w:rsid w:val="00FA0E1D"/>
    <w:rsid w:val="00FA1AEF"/>
    <w:rsid w:val="00FA46BA"/>
    <w:rsid w:val="00FA60E3"/>
    <w:rsid w:val="00FA6945"/>
    <w:rsid w:val="00FA6B1E"/>
    <w:rsid w:val="00FB1872"/>
    <w:rsid w:val="00FB1B5E"/>
    <w:rsid w:val="00FB1E63"/>
    <w:rsid w:val="00FB2941"/>
    <w:rsid w:val="00FB2B0A"/>
    <w:rsid w:val="00FB4C91"/>
    <w:rsid w:val="00FB545A"/>
    <w:rsid w:val="00FB5B86"/>
    <w:rsid w:val="00FC0415"/>
    <w:rsid w:val="00FC19BB"/>
    <w:rsid w:val="00FC2B5B"/>
    <w:rsid w:val="00FC3C63"/>
    <w:rsid w:val="00FC3DF2"/>
    <w:rsid w:val="00FC42CC"/>
    <w:rsid w:val="00FC5083"/>
    <w:rsid w:val="00FC5254"/>
    <w:rsid w:val="00FC57DF"/>
    <w:rsid w:val="00FC586A"/>
    <w:rsid w:val="00FC5EF8"/>
    <w:rsid w:val="00FC60A7"/>
    <w:rsid w:val="00FC69E2"/>
    <w:rsid w:val="00FC7A36"/>
    <w:rsid w:val="00FD3EFA"/>
    <w:rsid w:val="00FD5176"/>
    <w:rsid w:val="00FD6ABA"/>
    <w:rsid w:val="00FD7C72"/>
    <w:rsid w:val="00FE07AD"/>
    <w:rsid w:val="00FE0BA1"/>
    <w:rsid w:val="00FE12A7"/>
    <w:rsid w:val="00FE29C4"/>
    <w:rsid w:val="00FE2BB5"/>
    <w:rsid w:val="00FE333B"/>
    <w:rsid w:val="00FE3726"/>
    <w:rsid w:val="00FE38DE"/>
    <w:rsid w:val="00FE5FA8"/>
    <w:rsid w:val="00FE79B6"/>
    <w:rsid w:val="00FF1718"/>
    <w:rsid w:val="00FF216D"/>
    <w:rsid w:val="00FF22F8"/>
    <w:rsid w:val="00FF391C"/>
    <w:rsid w:val="00FF3FA0"/>
    <w:rsid w:val="00FF4026"/>
    <w:rsid w:val="00FF4B1F"/>
    <w:rsid w:val="00FF4E9C"/>
    <w:rsid w:val="00FF50CF"/>
    <w:rsid w:val="00FF603F"/>
    <w:rsid w:val="00FF6606"/>
    <w:rsid w:val="00FF67E6"/>
    <w:rsid w:val="00FF7916"/>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14:docId w14:val="0F3C9F04"/>
  <w15:docId w15:val="{8B6A3688-B765-42E7-AF2C-16616BD9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CC5"/>
    <w:pPr>
      <w:spacing w:before="120" w:line="276" w:lineRule="auto"/>
      <w:jc w:val="both"/>
    </w:pPr>
    <w:rPr>
      <w:rFonts w:ascii="Arial" w:hAnsi="Arial"/>
      <w:sz w:val="22"/>
      <w:szCs w:val="24"/>
      <w:lang w:eastAsia="en-US"/>
    </w:rPr>
  </w:style>
  <w:style w:type="paragraph" w:styleId="Heading1">
    <w:name w:val="heading 1"/>
    <w:basedOn w:val="Normal"/>
    <w:next w:val="Heading2"/>
    <w:link w:val="Nadpis1Char"/>
    <w:uiPriority w:val="99"/>
    <w:qFormat/>
    <w:rsid w:val="00863C45"/>
    <w:pPr>
      <w:keepNext/>
      <w:numPr>
        <w:numId w:val="1"/>
      </w:numPr>
      <w:spacing w:before="480" w:after="60"/>
      <w:outlineLvl w:val="0"/>
    </w:pPr>
    <w:rPr>
      <w:b/>
      <w:bCs/>
      <w:kern w:val="32"/>
      <w:sz w:val="28"/>
      <w:szCs w:val="28"/>
    </w:rPr>
  </w:style>
  <w:style w:type="paragraph" w:styleId="Heading2">
    <w:name w:val="heading 2"/>
    <w:basedOn w:val="Heading1"/>
    <w:link w:val="Nadpis2Char"/>
    <w:uiPriority w:val="99"/>
    <w:qFormat/>
    <w:rsid w:val="0072599B"/>
    <w:pPr>
      <w:numPr>
        <w:ilvl w:val="1"/>
      </w:numPr>
      <w:spacing w:before="240"/>
      <w:outlineLvl w:val="1"/>
    </w:pPr>
    <w:rPr>
      <w:i/>
      <w:sz w:val="24"/>
      <w:szCs w:val="24"/>
    </w:rPr>
  </w:style>
  <w:style w:type="paragraph" w:styleId="Heading3">
    <w:name w:val="heading 3"/>
    <w:basedOn w:val="Normal"/>
    <w:next w:val="Normal"/>
    <w:link w:val="Nadpis3Char"/>
    <w:uiPriority w:val="99"/>
    <w:qFormat/>
    <w:rsid w:val="00743D58"/>
    <w:pPr>
      <w:keepNext/>
      <w:numPr>
        <w:ilvl w:val="2"/>
        <w:numId w:val="1"/>
      </w:numPr>
      <w:spacing w:before="240" w:after="60"/>
      <w:outlineLvl w:val="2"/>
    </w:pPr>
    <w:rPr>
      <w:b/>
      <w:bCs/>
      <w:i/>
      <w:iCs/>
    </w:rPr>
  </w:style>
  <w:style w:type="paragraph" w:styleId="Heading4">
    <w:name w:val="heading 4"/>
    <w:basedOn w:val="Normal"/>
    <w:next w:val="Normal"/>
    <w:link w:val="Nadpis4Char"/>
    <w:uiPriority w:val="99"/>
    <w:qFormat/>
    <w:rsid w:val="00BE2B5F"/>
    <w:pPr>
      <w:keepNext/>
      <w:numPr>
        <w:ilvl w:val="3"/>
        <w:numId w:val="1"/>
      </w:numPr>
      <w:spacing w:before="240" w:after="60"/>
      <w:outlineLvl w:val="3"/>
    </w:pPr>
    <w:rPr>
      <w:sz w:val="28"/>
      <w:szCs w:val="28"/>
    </w:rPr>
  </w:style>
  <w:style w:type="paragraph" w:styleId="Heading5">
    <w:name w:val="heading 5"/>
    <w:basedOn w:val="Normal"/>
    <w:next w:val="Normal"/>
    <w:link w:val="Nadpis5Char"/>
    <w:uiPriority w:val="99"/>
    <w:qFormat/>
    <w:rsid w:val="00BE2B5F"/>
    <w:pPr>
      <w:numPr>
        <w:ilvl w:val="4"/>
        <w:numId w:val="1"/>
      </w:numPr>
      <w:spacing w:before="240" w:after="60"/>
      <w:outlineLvl w:val="4"/>
    </w:pPr>
    <w:rPr>
      <w:i/>
      <w:iCs/>
      <w:sz w:val="26"/>
      <w:szCs w:val="26"/>
    </w:rPr>
  </w:style>
  <w:style w:type="paragraph" w:styleId="Heading6">
    <w:name w:val="heading 6"/>
    <w:basedOn w:val="Normal"/>
    <w:next w:val="Normal"/>
    <w:link w:val="Nadpis6Char"/>
    <w:uiPriority w:val="99"/>
    <w:qFormat/>
    <w:rsid w:val="00BE2B5F"/>
    <w:pPr>
      <w:numPr>
        <w:ilvl w:val="5"/>
        <w:numId w:val="1"/>
      </w:numPr>
      <w:spacing w:before="240" w:after="60"/>
      <w:outlineLvl w:val="5"/>
    </w:pPr>
    <w:rPr>
      <w:szCs w:val="22"/>
    </w:rPr>
  </w:style>
  <w:style w:type="paragraph" w:styleId="Heading7">
    <w:name w:val="heading 7"/>
    <w:basedOn w:val="Normal"/>
    <w:next w:val="Normal"/>
    <w:link w:val="Nadpis7Char"/>
    <w:uiPriority w:val="99"/>
    <w:qFormat/>
    <w:rsid w:val="00BE2B5F"/>
    <w:pPr>
      <w:numPr>
        <w:ilvl w:val="6"/>
        <w:numId w:val="1"/>
      </w:numPr>
      <w:spacing w:before="240" w:after="60"/>
      <w:outlineLvl w:val="6"/>
    </w:pPr>
  </w:style>
  <w:style w:type="paragraph" w:styleId="Heading8">
    <w:name w:val="heading 8"/>
    <w:basedOn w:val="Normal"/>
    <w:next w:val="Normal"/>
    <w:link w:val="Nadpis8Char"/>
    <w:uiPriority w:val="99"/>
    <w:qFormat/>
    <w:rsid w:val="00BE2B5F"/>
    <w:pPr>
      <w:numPr>
        <w:ilvl w:val="7"/>
        <w:numId w:val="1"/>
      </w:numPr>
      <w:spacing w:before="240" w:after="60"/>
      <w:outlineLvl w:val="7"/>
    </w:pPr>
    <w:rPr>
      <w:i/>
      <w:iCs/>
    </w:rPr>
  </w:style>
  <w:style w:type="paragraph" w:styleId="Heading9">
    <w:name w:val="heading 9"/>
    <w:basedOn w:val="Normal"/>
    <w:next w:val="Normal"/>
    <w:link w:val="Nadpis9Char"/>
    <w:uiPriority w:val="99"/>
    <w:qFormat/>
    <w:rsid w:val="00BE2B5F"/>
    <w:pPr>
      <w:numPr>
        <w:ilvl w:val="8"/>
        <w:numId w:val="1"/>
      </w:numPr>
      <w:spacing w:before="240" w:after="60"/>
      <w:outlineLvl w:val="8"/>
    </w:pPr>
    <w:rPr>
      <w:rFonts w:ascii="Cambria" w:hAnsi="Cambria" w:cs="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9"/>
    <w:locked/>
    <w:rsid w:val="0072599B"/>
    <w:rPr>
      <w:rFonts w:ascii="Arial" w:hAnsi="Arial"/>
      <w:b/>
      <w:bCs/>
      <w:i/>
      <w:kern w:val="32"/>
      <w:sz w:val="24"/>
      <w:szCs w:val="24"/>
      <w:lang w:eastAsia="en-US"/>
    </w:rPr>
  </w:style>
  <w:style w:type="character" w:customStyle="1" w:styleId="Nadpis1Char">
    <w:name w:val="Nadpis 1 Char"/>
    <w:basedOn w:val="DefaultParagraphFont"/>
    <w:link w:val="Heading1"/>
    <w:uiPriority w:val="99"/>
    <w:locked/>
    <w:rsid w:val="00863C45"/>
    <w:rPr>
      <w:rFonts w:ascii="Arial" w:hAnsi="Arial"/>
      <w:b/>
      <w:bCs/>
      <w:kern w:val="32"/>
      <w:sz w:val="28"/>
      <w:szCs w:val="28"/>
      <w:lang w:eastAsia="en-US"/>
    </w:rPr>
  </w:style>
  <w:style w:type="character" w:customStyle="1" w:styleId="Nadpis3Char">
    <w:name w:val="Nadpis 3 Char"/>
    <w:basedOn w:val="DefaultParagraphFont"/>
    <w:link w:val="Heading3"/>
    <w:uiPriority w:val="99"/>
    <w:locked/>
    <w:rsid w:val="00743D58"/>
    <w:rPr>
      <w:rFonts w:ascii="Arial" w:hAnsi="Arial"/>
      <w:b/>
      <w:bCs/>
      <w:i/>
      <w:iCs/>
      <w:sz w:val="22"/>
      <w:szCs w:val="24"/>
      <w:lang w:eastAsia="en-US"/>
    </w:rPr>
  </w:style>
  <w:style w:type="character" w:customStyle="1" w:styleId="Nadpis4Char">
    <w:name w:val="Nadpis 4 Char"/>
    <w:basedOn w:val="DefaultParagraphFont"/>
    <w:link w:val="Heading4"/>
    <w:uiPriority w:val="99"/>
    <w:locked/>
    <w:rsid w:val="00BE2B5F"/>
    <w:rPr>
      <w:rFonts w:ascii="Arial" w:hAnsi="Arial"/>
      <w:sz w:val="28"/>
      <w:szCs w:val="28"/>
      <w:lang w:eastAsia="en-US"/>
    </w:rPr>
  </w:style>
  <w:style w:type="character" w:customStyle="1" w:styleId="Nadpis5Char">
    <w:name w:val="Nadpis 5 Char"/>
    <w:basedOn w:val="DefaultParagraphFont"/>
    <w:link w:val="Heading5"/>
    <w:uiPriority w:val="99"/>
    <w:locked/>
    <w:rsid w:val="00BE2B5F"/>
    <w:rPr>
      <w:rFonts w:ascii="Arial" w:hAnsi="Arial"/>
      <w:i/>
      <w:iCs/>
      <w:sz w:val="26"/>
      <w:szCs w:val="26"/>
      <w:lang w:eastAsia="en-US"/>
    </w:rPr>
  </w:style>
  <w:style w:type="character" w:customStyle="1" w:styleId="Nadpis6Char">
    <w:name w:val="Nadpis 6 Char"/>
    <w:basedOn w:val="DefaultParagraphFont"/>
    <w:link w:val="Heading6"/>
    <w:uiPriority w:val="99"/>
    <w:locked/>
    <w:rsid w:val="00BE2B5F"/>
    <w:rPr>
      <w:rFonts w:ascii="Arial" w:hAnsi="Arial"/>
      <w:sz w:val="22"/>
      <w:szCs w:val="22"/>
      <w:lang w:eastAsia="en-US"/>
    </w:rPr>
  </w:style>
  <w:style w:type="character" w:customStyle="1" w:styleId="Nadpis7Char">
    <w:name w:val="Nadpis 7 Char"/>
    <w:basedOn w:val="DefaultParagraphFont"/>
    <w:link w:val="Heading7"/>
    <w:uiPriority w:val="99"/>
    <w:locked/>
    <w:rsid w:val="00BE2B5F"/>
    <w:rPr>
      <w:rFonts w:ascii="Arial" w:hAnsi="Arial"/>
      <w:sz w:val="22"/>
      <w:szCs w:val="24"/>
      <w:lang w:eastAsia="en-US"/>
    </w:rPr>
  </w:style>
  <w:style w:type="character" w:customStyle="1" w:styleId="Nadpis8Char">
    <w:name w:val="Nadpis 8 Char"/>
    <w:basedOn w:val="DefaultParagraphFont"/>
    <w:link w:val="Heading8"/>
    <w:uiPriority w:val="99"/>
    <w:locked/>
    <w:rsid w:val="00BE2B5F"/>
    <w:rPr>
      <w:rFonts w:ascii="Arial" w:hAnsi="Arial"/>
      <w:i/>
      <w:iCs/>
      <w:sz w:val="22"/>
      <w:szCs w:val="24"/>
      <w:lang w:eastAsia="en-US"/>
    </w:rPr>
  </w:style>
  <w:style w:type="character" w:customStyle="1" w:styleId="Nadpis9Char">
    <w:name w:val="Nadpis 9 Char"/>
    <w:basedOn w:val="DefaultParagraphFont"/>
    <w:link w:val="Heading9"/>
    <w:uiPriority w:val="99"/>
    <w:locked/>
    <w:rsid w:val="00BE2B5F"/>
    <w:rPr>
      <w:rFonts w:ascii="Cambria" w:hAnsi="Cambria" w:cs="Cambria"/>
      <w:sz w:val="22"/>
      <w:szCs w:val="22"/>
      <w:lang w:eastAsia="en-US"/>
    </w:rPr>
  </w:style>
  <w:style w:type="character" w:styleId="Emphasis">
    <w:name w:val="Emphasis"/>
    <w:basedOn w:val="DefaultParagraphFont"/>
    <w:uiPriority w:val="99"/>
    <w:rsid w:val="00BE2B5F"/>
    <w:rPr>
      <w:rFonts w:ascii="Calibri" w:hAnsi="Calibri" w:cs="Calibri"/>
      <w:b/>
      <w:bCs/>
      <w:i/>
      <w:iCs/>
    </w:rPr>
  </w:style>
  <w:style w:type="paragraph" w:styleId="Caption">
    <w:name w:val="caption"/>
    <w:aliases w:val="C,Caption - Centre Graphic,Caption Char,Caption Char Char,Caption Char Char Char,Caption PSP,Caption1 Char Char Char Char Char Char Char Char,Caption1 Char Char Char Char Char Char Char Char Tegn Tegn Tegn Tegn Tegn,Char"/>
    <w:basedOn w:val="Normal"/>
    <w:next w:val="Normal"/>
    <w:link w:val="TitulekChar"/>
    <w:uiPriority w:val="35"/>
    <w:qFormat/>
    <w:rsid w:val="00AA7E6E"/>
    <w:pPr>
      <w:spacing w:before="240"/>
    </w:pPr>
    <w:rPr>
      <w:b/>
      <w:bCs/>
      <w:spacing w:val="10"/>
      <w:sz w:val="18"/>
      <w:szCs w:val="18"/>
    </w:rPr>
  </w:style>
  <w:style w:type="character" w:customStyle="1" w:styleId="TitulekChar">
    <w:name w:val="Titulek Char"/>
    <w:aliases w:val="C Char,Caption - Centre Graphic Char,Caption Char Char Char Char,Caption Char Char Char1,Caption Char Char1,Caption PSP Char,Caption1 Char Char Char Char Char Char Char Char Char,Char Char"/>
    <w:basedOn w:val="DefaultParagraphFont"/>
    <w:link w:val="Caption"/>
    <w:uiPriority w:val="35"/>
    <w:rsid w:val="003D02B3"/>
    <w:rPr>
      <w:rFonts w:ascii="Arial" w:hAnsi="Arial"/>
      <w:b/>
      <w:bCs/>
      <w:spacing w:val="10"/>
      <w:sz w:val="18"/>
      <w:szCs w:val="18"/>
      <w:lang w:eastAsia="en-US"/>
    </w:rPr>
  </w:style>
  <w:style w:type="paragraph" w:styleId="Title">
    <w:name w:val="Title"/>
    <w:basedOn w:val="Normal"/>
    <w:next w:val="Normal"/>
    <w:link w:val="NzevChar"/>
    <w:uiPriority w:val="10"/>
    <w:qFormat/>
    <w:rsid w:val="00FF1718"/>
    <w:pPr>
      <w:numPr>
        <w:numId w:val="5"/>
      </w:numPr>
      <w:spacing w:before="240" w:after="60"/>
      <w:ind w:left="357" w:hanging="357"/>
      <w:outlineLvl w:val="0"/>
    </w:pPr>
    <w:rPr>
      <w:rFonts w:cs="Cambria"/>
      <w:b/>
      <w:caps/>
      <w:kern w:val="28"/>
      <w:szCs w:val="32"/>
    </w:rPr>
  </w:style>
  <w:style w:type="character" w:customStyle="1" w:styleId="NzevChar">
    <w:name w:val="Název Char"/>
    <w:basedOn w:val="DefaultParagraphFont"/>
    <w:link w:val="Title"/>
    <w:uiPriority w:val="10"/>
    <w:locked/>
    <w:rsid w:val="00FF1718"/>
    <w:rPr>
      <w:rFonts w:ascii="Arial" w:hAnsi="Arial" w:cs="Cambria"/>
      <w:b/>
      <w:caps/>
      <w:kern w:val="28"/>
      <w:sz w:val="22"/>
      <w:szCs w:val="32"/>
      <w:lang w:eastAsia="en-US"/>
    </w:rPr>
  </w:style>
  <w:style w:type="paragraph" w:styleId="Subtitle">
    <w:name w:val="Subtitle"/>
    <w:basedOn w:val="Normal"/>
    <w:next w:val="Normal"/>
    <w:link w:val="PodnadpisChar"/>
    <w:uiPriority w:val="11"/>
    <w:qFormat/>
    <w:rsid w:val="007754C0"/>
    <w:pPr>
      <w:keepNext/>
      <w:numPr>
        <w:numId w:val="6"/>
      </w:numPr>
      <w:spacing w:before="240"/>
      <w:ind w:left="357" w:hanging="357"/>
      <w:outlineLvl w:val="1"/>
    </w:pPr>
    <w:rPr>
      <w:rFonts w:cs="Cambria"/>
      <w:b/>
    </w:rPr>
  </w:style>
  <w:style w:type="character" w:customStyle="1" w:styleId="PodnadpisChar">
    <w:name w:val="Podnadpis Char"/>
    <w:basedOn w:val="DefaultParagraphFont"/>
    <w:link w:val="Subtitle"/>
    <w:uiPriority w:val="11"/>
    <w:locked/>
    <w:rsid w:val="007754C0"/>
    <w:rPr>
      <w:rFonts w:ascii="Arial" w:hAnsi="Arial" w:cs="Cambria"/>
      <w:b/>
      <w:sz w:val="22"/>
      <w:szCs w:val="24"/>
      <w:lang w:eastAsia="en-US"/>
    </w:rPr>
  </w:style>
  <w:style w:type="character" w:styleId="Strong">
    <w:name w:val="Strong"/>
    <w:basedOn w:val="DefaultParagraphFont"/>
    <w:uiPriority w:val="99"/>
    <w:rsid w:val="00BE2B5F"/>
    <w:rPr>
      <w:b/>
      <w:bCs/>
    </w:rPr>
  </w:style>
  <w:style w:type="paragraph" w:styleId="NoSpacing">
    <w:name w:val="No Spacing"/>
    <w:basedOn w:val="Normal"/>
    <w:link w:val="BezmezerChar"/>
    <w:uiPriority w:val="99"/>
    <w:rsid w:val="00BE2B5F"/>
  </w:style>
  <w:style w:type="character" w:customStyle="1" w:styleId="BezmezerChar">
    <w:name w:val="Bez mezer Char"/>
    <w:basedOn w:val="DefaultParagraphFont"/>
    <w:link w:val="NoSpacing"/>
    <w:uiPriority w:val="99"/>
    <w:locked/>
    <w:rsid w:val="00BE2B5F"/>
    <w:rPr>
      <w:sz w:val="32"/>
      <w:szCs w:val="32"/>
    </w:rPr>
  </w:style>
  <w:style w:type="paragraph" w:styleId="ListParagraph">
    <w:name w:val="List Paragraph"/>
    <w:aliases w:val="Dot pt,Indicator Text,LISTA,List Paragraph Char Char Char,List Paragraph à moi,List Paragraph1,Listaszerű bekezdés1,Listaszerű bekezdés2,Listaszerű bekezdés3,Nad,No Spacing1,Numbered Para 1,Odstavec cíl se seznamem,Style Bullet"/>
    <w:basedOn w:val="Normal"/>
    <w:link w:val="OdstavecseseznamemChar"/>
    <w:uiPriority w:val="34"/>
    <w:qFormat/>
    <w:rsid w:val="00BE2B5F"/>
    <w:pPr>
      <w:ind w:left="720"/>
    </w:pPr>
  </w:style>
  <w:style w:type="character" w:customStyle="1" w:styleId="OdstavecseseznamemChar">
    <w:name w:val="Odstavec se seznamem Char"/>
    <w:aliases w:val="Dot pt Char,Indicator Text Char,LISTA Char,List Paragraph Char Char Char Char,List Paragraph à moi Char,List Paragraph1 Char,Listaszerű bekezdés1 Char,Listaszerű bekezdés2 Char,Listaszerű bekezdés3 Char,Nad Char"/>
    <w:link w:val="ListParagraph"/>
    <w:uiPriority w:val="34"/>
    <w:qFormat/>
    <w:locked/>
    <w:rsid w:val="00786E81"/>
    <w:rPr>
      <w:rFonts w:ascii="Arial" w:hAnsi="Arial"/>
      <w:sz w:val="22"/>
      <w:szCs w:val="24"/>
      <w:lang w:eastAsia="en-US"/>
    </w:rPr>
  </w:style>
  <w:style w:type="paragraph" w:styleId="Quote">
    <w:name w:val="Quote"/>
    <w:basedOn w:val="Normal"/>
    <w:next w:val="Normal"/>
    <w:link w:val="CittChar"/>
    <w:uiPriority w:val="99"/>
    <w:rsid w:val="00BE2B5F"/>
    <w:rPr>
      <w:i/>
      <w:iCs/>
    </w:rPr>
  </w:style>
  <w:style w:type="character" w:customStyle="1" w:styleId="CittChar">
    <w:name w:val="Citát Char"/>
    <w:basedOn w:val="DefaultParagraphFont"/>
    <w:link w:val="Quote"/>
    <w:uiPriority w:val="99"/>
    <w:locked/>
    <w:rsid w:val="00BE2B5F"/>
    <w:rPr>
      <w:i/>
      <w:iCs/>
      <w:sz w:val="24"/>
      <w:szCs w:val="24"/>
    </w:rPr>
  </w:style>
  <w:style w:type="paragraph" w:styleId="IntenseQuote">
    <w:name w:val="Intense Quote"/>
    <w:basedOn w:val="Normal"/>
    <w:next w:val="Normal"/>
    <w:link w:val="VrazncittChar"/>
    <w:uiPriority w:val="99"/>
    <w:rsid w:val="00BE2B5F"/>
    <w:pPr>
      <w:ind w:left="720" w:right="720"/>
    </w:pPr>
    <w:rPr>
      <w:i/>
      <w:iCs/>
    </w:rPr>
  </w:style>
  <w:style w:type="character" w:customStyle="1" w:styleId="VrazncittChar">
    <w:name w:val="Výrazný citát Char"/>
    <w:basedOn w:val="DefaultParagraphFont"/>
    <w:link w:val="IntenseQuote"/>
    <w:uiPriority w:val="99"/>
    <w:locked/>
    <w:rsid w:val="00BE2B5F"/>
    <w:rPr>
      <w:b/>
      <w:bCs/>
      <w:i/>
      <w:iCs/>
      <w:sz w:val="24"/>
      <w:szCs w:val="24"/>
    </w:rPr>
  </w:style>
  <w:style w:type="character" w:styleId="SubtleEmphasis">
    <w:name w:val="Subtle Emphasis"/>
    <w:basedOn w:val="DefaultParagraphFont"/>
    <w:uiPriority w:val="99"/>
    <w:rsid w:val="00BE2B5F"/>
    <w:rPr>
      <w:i/>
      <w:iCs/>
      <w:color w:val="auto"/>
    </w:rPr>
  </w:style>
  <w:style w:type="character" w:styleId="IntenseEmphasis">
    <w:name w:val="Intense Emphasis"/>
    <w:basedOn w:val="DefaultParagraphFont"/>
    <w:uiPriority w:val="99"/>
    <w:rsid w:val="00BE2B5F"/>
    <w:rPr>
      <w:b/>
      <w:bCs/>
      <w:i/>
      <w:iCs/>
      <w:sz w:val="24"/>
      <w:szCs w:val="24"/>
      <w:u w:val="single"/>
    </w:rPr>
  </w:style>
  <w:style w:type="character" w:styleId="SubtleReference">
    <w:name w:val="Subtle Reference"/>
    <w:basedOn w:val="DefaultParagraphFont"/>
    <w:uiPriority w:val="99"/>
    <w:rsid w:val="00BE2B5F"/>
    <w:rPr>
      <w:sz w:val="24"/>
      <w:szCs w:val="24"/>
      <w:u w:val="single"/>
    </w:rPr>
  </w:style>
  <w:style w:type="character" w:styleId="IntenseReference">
    <w:name w:val="Intense Reference"/>
    <w:basedOn w:val="DefaultParagraphFont"/>
    <w:uiPriority w:val="99"/>
    <w:rsid w:val="00BE2B5F"/>
    <w:rPr>
      <w:b/>
      <w:bCs/>
      <w:sz w:val="24"/>
      <w:szCs w:val="24"/>
      <w:u w:val="single"/>
    </w:rPr>
  </w:style>
  <w:style w:type="character" w:styleId="BookTitle">
    <w:name w:val="Book Title"/>
    <w:basedOn w:val="DefaultParagraphFont"/>
    <w:uiPriority w:val="99"/>
    <w:rsid w:val="00BE2B5F"/>
    <w:rPr>
      <w:rFonts w:ascii="Cambria" w:hAnsi="Cambria" w:cs="Cambria"/>
      <w:b/>
      <w:bCs/>
      <w:i/>
      <w:iCs/>
      <w:sz w:val="24"/>
      <w:szCs w:val="24"/>
    </w:rPr>
  </w:style>
  <w:style w:type="paragraph" w:styleId="TOCHeading">
    <w:name w:val="TOC Heading"/>
    <w:basedOn w:val="Heading1"/>
    <w:next w:val="Normal"/>
    <w:uiPriority w:val="39"/>
    <w:qFormat/>
    <w:rsid w:val="00BE2B5F"/>
    <w:pPr>
      <w:outlineLvl w:val="9"/>
    </w:pPr>
  </w:style>
  <w:style w:type="character" w:styleId="CommentReference">
    <w:name w:val="annotation reference"/>
    <w:aliases w:val="Značka poznámky"/>
    <w:basedOn w:val="DefaultParagraphFont"/>
    <w:uiPriority w:val="99"/>
    <w:semiHidden/>
    <w:rsid w:val="003C1EA7"/>
    <w:rPr>
      <w:sz w:val="16"/>
      <w:szCs w:val="16"/>
    </w:rPr>
  </w:style>
  <w:style w:type="paragraph" w:styleId="CommentText">
    <w:name w:val="annotation text"/>
    <w:aliases w:val="Text poznámky"/>
    <w:basedOn w:val="Normal"/>
    <w:link w:val="TextkomenteChar"/>
    <w:uiPriority w:val="99"/>
    <w:semiHidden/>
    <w:rsid w:val="003C1EA7"/>
    <w:rPr>
      <w:sz w:val="20"/>
      <w:szCs w:val="20"/>
    </w:rPr>
  </w:style>
  <w:style w:type="character" w:customStyle="1" w:styleId="TextkomenteChar">
    <w:name w:val="Text komentáře Char"/>
    <w:aliases w:val="Text poznámky Char"/>
    <w:basedOn w:val="DefaultParagraphFont"/>
    <w:link w:val="CommentText"/>
    <w:uiPriority w:val="99"/>
    <w:semiHidden/>
    <w:locked/>
    <w:rsid w:val="003C1EA7"/>
    <w:rPr>
      <w:rFonts w:ascii="Times New Roman" w:hAnsi="Times New Roman" w:cs="Times New Roman"/>
      <w:b/>
      <w:bCs/>
      <w:sz w:val="20"/>
      <w:szCs w:val="20"/>
    </w:rPr>
  </w:style>
  <w:style w:type="paragraph" w:styleId="CommentSubject">
    <w:name w:val="annotation subject"/>
    <w:basedOn w:val="CommentText"/>
    <w:next w:val="CommentText"/>
    <w:link w:val="PedmtkomenteChar"/>
    <w:uiPriority w:val="99"/>
    <w:semiHidden/>
    <w:rsid w:val="003C1EA7"/>
  </w:style>
  <w:style w:type="character" w:customStyle="1" w:styleId="PedmtkomenteChar">
    <w:name w:val="Předmět komentáře Char"/>
    <w:basedOn w:val="TextkomenteChar"/>
    <w:link w:val="CommentSubject"/>
    <w:uiPriority w:val="99"/>
    <w:semiHidden/>
    <w:locked/>
    <w:rsid w:val="003C1EA7"/>
    <w:rPr>
      <w:rFonts w:ascii="Times New Roman" w:hAnsi="Times New Roman" w:cs="Times New Roman"/>
      <w:b/>
      <w:bCs/>
      <w:sz w:val="20"/>
      <w:szCs w:val="20"/>
    </w:rPr>
  </w:style>
  <w:style w:type="paragraph" w:styleId="BalloonText">
    <w:name w:val="Balloon Text"/>
    <w:basedOn w:val="Normal"/>
    <w:link w:val="TextbublinyChar"/>
    <w:uiPriority w:val="99"/>
    <w:semiHidden/>
    <w:rsid w:val="003C1EA7"/>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C1EA7"/>
    <w:rPr>
      <w:rFonts w:ascii="Tahoma" w:hAnsi="Tahoma" w:cs="Tahoma"/>
      <w:b/>
      <w:bCs/>
      <w:sz w:val="16"/>
      <w:szCs w:val="16"/>
    </w:rPr>
  </w:style>
  <w:style w:type="paragraph" w:styleId="Header">
    <w:name w:val="header"/>
    <w:basedOn w:val="Normal"/>
    <w:link w:val="ZhlavChar"/>
    <w:uiPriority w:val="99"/>
    <w:rsid w:val="00DF00F7"/>
    <w:pPr>
      <w:tabs>
        <w:tab w:val="center" w:pos="4536"/>
        <w:tab w:val="right" w:pos="9072"/>
      </w:tabs>
      <w:spacing w:line="240" w:lineRule="auto"/>
    </w:pPr>
  </w:style>
  <w:style w:type="character" w:customStyle="1" w:styleId="ZhlavChar">
    <w:name w:val="Záhlaví Char"/>
    <w:basedOn w:val="DefaultParagraphFont"/>
    <w:link w:val="Header"/>
    <w:uiPriority w:val="99"/>
    <w:locked/>
    <w:rsid w:val="00DF00F7"/>
    <w:rPr>
      <w:rFonts w:ascii="Times New Roman" w:hAnsi="Times New Roman" w:cs="Times New Roman"/>
      <w:sz w:val="24"/>
      <w:szCs w:val="24"/>
    </w:rPr>
  </w:style>
  <w:style w:type="paragraph" w:styleId="Footer">
    <w:name w:val="footer"/>
    <w:basedOn w:val="Normal"/>
    <w:link w:val="ZpatChar"/>
    <w:uiPriority w:val="99"/>
    <w:rsid w:val="00DF00F7"/>
    <w:pPr>
      <w:tabs>
        <w:tab w:val="center" w:pos="4536"/>
        <w:tab w:val="right" w:pos="9072"/>
      </w:tabs>
      <w:spacing w:line="240" w:lineRule="auto"/>
    </w:pPr>
  </w:style>
  <w:style w:type="character" w:customStyle="1" w:styleId="ZpatChar">
    <w:name w:val="Zápatí Char"/>
    <w:basedOn w:val="DefaultParagraphFont"/>
    <w:link w:val="Footer"/>
    <w:uiPriority w:val="99"/>
    <w:locked/>
    <w:rsid w:val="00DF00F7"/>
    <w:rPr>
      <w:rFonts w:ascii="Times New Roman" w:hAnsi="Times New Roman" w:cs="Times New Roman"/>
      <w:sz w:val="24"/>
      <w:szCs w:val="24"/>
    </w:rPr>
  </w:style>
  <w:style w:type="paragraph" w:customStyle="1" w:styleId="Normln-tun">
    <w:name w:val="Normální - tučné"/>
    <w:basedOn w:val="Normal"/>
    <w:uiPriority w:val="99"/>
    <w:rsid w:val="00BF5353"/>
    <w:pPr>
      <w:spacing w:before="240"/>
    </w:pPr>
    <w:rPr>
      <w:b/>
      <w:bCs/>
    </w:rPr>
  </w:style>
  <w:style w:type="paragraph" w:customStyle="1" w:styleId="Zkon-podkapitola">
    <w:name w:val="Zákon-podkapitola"/>
    <w:basedOn w:val="Normal"/>
    <w:uiPriority w:val="99"/>
    <w:rsid w:val="00153E74"/>
    <w:pPr>
      <w:tabs>
        <w:tab w:val="num" w:pos="-180"/>
      </w:tabs>
      <w:spacing w:line="240" w:lineRule="auto"/>
      <w:ind w:left="-180" w:right="-648" w:hanging="360"/>
    </w:pPr>
    <w:rPr>
      <w:lang w:eastAsia="cs-CZ"/>
    </w:rPr>
  </w:style>
  <w:style w:type="paragraph" w:styleId="Revision">
    <w:name w:val="Revision"/>
    <w:hidden/>
    <w:uiPriority w:val="99"/>
    <w:semiHidden/>
    <w:rsid w:val="002471FC"/>
    <w:rPr>
      <w:rFonts w:ascii="Times New Roman" w:hAnsi="Times New Roman"/>
      <w:noProof/>
      <w:sz w:val="24"/>
      <w:szCs w:val="24"/>
      <w:lang w:eastAsia="en-US"/>
    </w:rPr>
  </w:style>
  <w:style w:type="paragraph" w:styleId="NormalWeb">
    <w:name w:val="Normal (Web)"/>
    <w:basedOn w:val="Normal"/>
    <w:uiPriority w:val="99"/>
    <w:semiHidden/>
    <w:rsid w:val="00BB3D11"/>
    <w:pPr>
      <w:spacing w:before="100" w:beforeAutospacing="1" w:after="100" w:afterAutospacing="1" w:line="240" w:lineRule="auto"/>
      <w:jc w:val="left"/>
    </w:pPr>
    <w:rPr>
      <w:lang w:eastAsia="cs-CZ"/>
    </w:rPr>
  </w:style>
  <w:style w:type="character" w:styleId="Hyperlink">
    <w:name w:val="Hyperlink"/>
    <w:basedOn w:val="DefaultParagraphFont"/>
    <w:uiPriority w:val="99"/>
    <w:rsid w:val="00BB3D11"/>
    <w:rPr>
      <w:color w:val="0000FF"/>
      <w:u w:val="single"/>
    </w:rPr>
  </w:style>
  <w:style w:type="paragraph" w:customStyle="1" w:styleId="Styl-NormlnsodrkouVlevo189cmPedsazen063cm">
    <w:name w:val="Styl - Normální s odrážkou + Vlevo:  189 cm Předsazení:  063 cm"/>
    <w:basedOn w:val="Normal"/>
    <w:uiPriority w:val="99"/>
    <w:rsid w:val="0013742B"/>
    <w:pPr>
      <w:numPr>
        <w:numId w:val="4"/>
      </w:numPr>
    </w:pPr>
  </w:style>
  <w:style w:type="character" w:styleId="PlaceholderText">
    <w:name w:val="Placeholder Text"/>
    <w:basedOn w:val="DefaultParagraphFont"/>
    <w:uiPriority w:val="99"/>
    <w:semiHidden/>
    <w:rsid w:val="00D713B7"/>
    <w:rPr>
      <w:color w:val="808080"/>
    </w:rPr>
  </w:style>
  <w:style w:type="character" w:customStyle="1" w:styleId="st">
    <w:name w:val="st"/>
    <w:basedOn w:val="DefaultParagraphFont"/>
    <w:rsid w:val="004A709D"/>
  </w:style>
  <w:style w:type="table" w:styleId="TableGrid">
    <w:name w:val="Table Grid"/>
    <w:basedOn w:val="TableNormal"/>
    <w:uiPriority w:val="59"/>
    <w:locked/>
    <w:rsid w:val="00D82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tun">
    <w:name w:val="Normální tučný"/>
    <w:basedOn w:val="Normal"/>
    <w:next w:val="Normal"/>
    <w:qFormat/>
    <w:rsid w:val="00276D40"/>
    <w:pPr>
      <w:keepNext/>
      <w:spacing w:before="240"/>
    </w:pPr>
    <w:rPr>
      <w:b/>
    </w:rPr>
  </w:style>
  <w:style w:type="paragraph" w:styleId="FootnoteText">
    <w:name w:val="footnote text"/>
    <w:aliases w:val="Char Char Char,Footnote Text Char Char,Footnote Text Char Char Char,Footnote Text Char Char Char Char,Footnote Text1,Footnote Text1 Char,Footnote Text1 Char Char Char,Footnote Text1 Char Char Char Char Char Char Char Char"/>
    <w:basedOn w:val="Normal"/>
    <w:link w:val="TextpoznpodarouChar"/>
    <w:uiPriority w:val="99"/>
    <w:unhideWhenUsed/>
    <w:qFormat/>
    <w:locked/>
    <w:rsid w:val="003D02B3"/>
    <w:pPr>
      <w:spacing w:line="240" w:lineRule="auto"/>
    </w:pPr>
    <w:rPr>
      <w:sz w:val="20"/>
      <w:szCs w:val="20"/>
    </w:rPr>
  </w:style>
  <w:style w:type="character" w:customStyle="1" w:styleId="TextpoznpodarouChar">
    <w:name w:val="Text pozn. pod čarou Char"/>
    <w:aliases w:val="Char Char Char Char,Footnote Text Char Char Char Char Char,Footnote Text Char Char Char Char1,Footnote Text Char Char Char1,Footnote Text1 Char Char,Footnote Text1 Char Char Char Char,Footnote Text1 Char1"/>
    <w:basedOn w:val="DefaultParagraphFont"/>
    <w:link w:val="FootnoteText"/>
    <w:uiPriority w:val="99"/>
    <w:rsid w:val="003D02B3"/>
    <w:rPr>
      <w:rFonts w:ascii="Arial" w:hAnsi="Arial"/>
      <w:lang w:eastAsia="en-US"/>
    </w:rPr>
  </w:style>
  <w:style w:type="character" w:styleId="FootnoteReference">
    <w:name w:val="footnote reference"/>
    <w:aliases w:val="BVI fnr,Char1 Char Char Char Char,EN Footnote Reference,Exposant 3 Point,Footnote,Footnote Reference Superscript,Footnote Reference/,Footnote reference number,Footnote symbol,SUPERS,Times 10 Point,ft,no...,note TESI,number,stylish"/>
    <w:basedOn w:val="DefaultParagraphFont"/>
    <w:link w:val="FootnotesymbolCarZchn"/>
    <w:uiPriority w:val="99"/>
    <w:unhideWhenUsed/>
    <w:qFormat/>
    <w:locked/>
    <w:rsid w:val="003D02B3"/>
    <w:rPr>
      <w:vertAlign w:val="superscript"/>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D11A96"/>
    <w:pPr>
      <w:spacing w:before="100" w:beforeAutospacing="1" w:after="100" w:afterAutospacing="1" w:line="240" w:lineRule="exact"/>
    </w:pPr>
    <w:rPr>
      <w:rFonts w:ascii="Calibri" w:hAnsi="Calibri"/>
      <w:sz w:val="20"/>
      <w:szCs w:val="20"/>
      <w:vertAlign w:val="superscript"/>
      <w:lang w:eastAsia="cs-CZ"/>
    </w:rPr>
  </w:style>
  <w:style w:type="paragraph" w:styleId="TOC1">
    <w:name w:val="toc 1"/>
    <w:basedOn w:val="Normal"/>
    <w:next w:val="Normal"/>
    <w:autoRedefine/>
    <w:uiPriority w:val="39"/>
    <w:unhideWhenUsed/>
    <w:locked/>
    <w:rsid w:val="00CD4A31"/>
    <w:pPr>
      <w:spacing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locked/>
    <w:rsid w:val="00CD4A31"/>
    <w:pPr>
      <w:spacing w:before="0"/>
      <w:ind w:left="22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locked/>
    <w:rsid w:val="00CD4A31"/>
    <w:pPr>
      <w:spacing w:before="0"/>
      <w:ind w:left="440"/>
      <w:jc w:val="left"/>
    </w:pPr>
    <w:rPr>
      <w:rFonts w:asciiTheme="minorHAnsi" w:hAnsiTheme="minorHAnsi" w:cstheme="minorHAnsi"/>
      <w:i/>
      <w:iCs/>
      <w:sz w:val="20"/>
      <w:szCs w:val="20"/>
    </w:rPr>
  </w:style>
  <w:style w:type="paragraph" w:styleId="TOC4">
    <w:name w:val="toc 4"/>
    <w:basedOn w:val="Normal"/>
    <w:next w:val="Normal"/>
    <w:autoRedefine/>
    <w:uiPriority w:val="39"/>
    <w:unhideWhenUsed/>
    <w:locked/>
    <w:rsid w:val="00C85360"/>
    <w:pPr>
      <w:spacing w:before="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locked/>
    <w:rsid w:val="00C85360"/>
    <w:pPr>
      <w:spacing w:before="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locked/>
    <w:rsid w:val="00C85360"/>
    <w:pPr>
      <w:spacing w:before="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locked/>
    <w:rsid w:val="00C85360"/>
    <w:pPr>
      <w:spacing w:before="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locked/>
    <w:rsid w:val="00C85360"/>
    <w:pPr>
      <w:spacing w:before="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locked/>
    <w:rsid w:val="00C85360"/>
    <w:pPr>
      <w:spacing w:before="0"/>
      <w:ind w:left="1760"/>
      <w:jc w:val="left"/>
    </w:pPr>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C85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yperlink" Target="mailto:eva.dvorakova@mzp.cz" TargetMode="Externa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ekonomika.idnes.cz/na-sporu-inzerentu-s-novou-vydelaly-male-televize-fwi-/ekoakcie.aspx?c=A130419_223051_ekoakcie_brm" TargetMode="External" /><Relationship Id="rId2" Type="http://schemas.openxmlformats.org/officeDocument/2006/relationships/hyperlink" Target="http://www.mojebillboardy.cz/hledat/index/search_county/10-praha/search_billboardtype/1" TargetMode="Externa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EE0C1-38B1-4525-94AA-E8A4E61A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6580</Words>
  <Characters>38824</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ZÁVĚREČNÁ ZPRÁVA Z HODNOCENÍ DOPADŮ REGULACE</vt:lpstr>
    </vt:vector>
  </TitlesOfParts>
  <Company>MZPCR</Company>
  <LinksUpToDate>false</LinksUpToDate>
  <CharactersWithSpaces>45314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ZÁVĚREČNÁ ZPRÁVA Z HODNOCENÍ DOPADŮ REGULACE</dc:title>
  <dc:creator>Martina</dc:creator>
  <cp:lastModifiedBy>Beneš Josef</cp:lastModifiedBy>
  <cp:revision>7</cp:revision>
  <cp:lastPrinted>2013-08-16T07:55:00Z</cp:lastPrinted>
  <dcterms:created xsi:type="dcterms:W3CDTF">2022-10-20T15:01:00Z</dcterms:created>
  <dcterms:modified xsi:type="dcterms:W3CDTF">2022-11-16T12:08:00Z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MZP/2022/410/1619</vt:lpwstr>
  </property>
  <property fmtid="{D5CDD505-2E9C-101B-9397-08002B2CF9AE}" pid="5" name="CJ_PostaDoruc_PisemnostOdpovedNa_Pisemnost">
    <vt:lpwstr>XXX-XXX-XXX</vt:lpwstr>
  </property>
  <property fmtid="{D5CDD505-2E9C-101B-9397-08002B2CF9AE}" pid="6" name="CJ_Spis_Pisemnost">
    <vt:lpwstr>MZP/2022/410/1499</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16.11.2022</vt:lpwstr>
  </property>
  <property fmtid="{D5CDD505-2E9C-101B-9397-08002B2CF9AE}" pid="12" name="DisplayName_CisloObalky_PostaOdes">
    <vt:lpwstr>ČÍSLO OBÁLKY</vt:lpwstr>
  </property>
  <property fmtid="{D5CDD505-2E9C-101B-9397-08002B2CF9AE}" pid="13" name="DisplayName_CJCol">
    <vt:lpwstr>&lt;TABLE&gt;&lt;TR&gt;&lt;TD&gt;Č.j.:&lt;/TD&gt;&lt;TD&gt;MZP/2022/410/1619&lt;/TD&gt;&lt;/TR&gt;&lt;TR&gt;&lt;TD&gt;&lt;/TD&gt;&lt;TD&gt;&lt;/TD&gt;&lt;/TR&gt;&lt;/TABLE&gt;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legislativní</vt:lpwstr>
  </property>
  <property fmtid="{D5CDD505-2E9C-101B-9397-08002B2CF9AE}" pid="16" name="DisplayName_UserPoriz_Pisemnost">
    <vt:lpwstr>Mgr. Bc. Josef Beneš</vt:lpwstr>
  </property>
  <property fmtid="{D5CDD505-2E9C-101B-9397-08002B2CF9AE}" pid="17" name="DuvodZmeny_SlozkaStupenUtajeniCollection_Slozka_Pisemnost">
    <vt:lpwstr/>
  </property>
  <property fmtid="{D5CDD505-2E9C-101B-9397-08002B2CF9AE}" pid="18" name="EC_Pisemnost">
    <vt:lpwstr>ENV/2022/321022</vt:lpwstr>
  </property>
  <property fmtid="{D5CDD505-2E9C-101B-9397-08002B2CF9AE}" pid="19" name="Key_BarCode_Pisemnost">
    <vt:lpwstr>*B001471649*</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0</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ENV/2022/321022</vt:lpwstr>
  </property>
  <property fmtid="{D5CDD505-2E9C-101B-9397-08002B2CF9AE}" pid="33" name="RC">
    <vt:lpwstr/>
  </property>
  <property fmtid="{D5CDD505-2E9C-101B-9397-08002B2CF9AE}" pid="34" name="SkartacniZnakLhuta_PisemnostZnak">
    <vt:lpwstr>A/10</vt:lpwstr>
  </property>
  <property fmtid="{D5CDD505-2E9C-101B-9397-08002B2CF9AE}" pid="35" name="SmlouvaCislo">
    <vt:lpwstr>ČÍSLO SMLOUVY</vt:lpwstr>
  </property>
  <property fmtid="{D5CDD505-2E9C-101B-9397-08002B2CF9AE}" pid="36" name="SZ_Spis_Pisemnost">
    <vt:lpwstr>ZN/MZP/2022/410/116</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Návrh vyhlášky, kterou se mění vyhláška č. 30/2021 Sb., o provedení některých ustanovení zákona o obalech –? MPŘ</vt:lpwstr>
  </property>
  <property fmtid="{D5CDD505-2E9C-101B-9397-08002B2CF9AE}" pid="41" name="Zkratka_SpisovyUzel_PoziceZodpo_Pisemnost">
    <vt:lpwstr>410</vt:lpwstr>
  </property>
</Properties>
</file>